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AF8F" w14:textId="77777777" w:rsidR="00835BD5" w:rsidRPr="00177EAC" w:rsidRDefault="00EB42E3" w:rsidP="008632FE">
      <w:pPr>
        <w:spacing w:line="360" w:lineRule="auto"/>
        <w:jc w:val="center"/>
        <w:rPr>
          <w:rFonts w:ascii="Times New Roman" w:eastAsia="仿宋_GB2312" w:hAnsi="Times New Roman" w:cs="Times New Roman"/>
          <w:b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/>
          <w:szCs w:val="21"/>
        </w:rPr>
        <w:t>Comité</w:t>
      </w:r>
      <w:proofErr w:type="spellEnd"/>
      <w:r w:rsidRPr="00177EAC">
        <w:rPr>
          <w:rFonts w:ascii="Times New Roman" w:eastAsia="仿宋_GB2312" w:hAnsi="Times New Roman" w:cs="Times New Roman"/>
          <w:b/>
          <w:szCs w:val="21"/>
        </w:rPr>
        <w:t xml:space="preserve"> Permanente del Sexto </w:t>
      </w:r>
      <w:proofErr w:type="spellStart"/>
      <w:r w:rsidRPr="00177EAC">
        <w:rPr>
          <w:rFonts w:ascii="Times New Roman" w:eastAsia="仿宋_GB2312" w:hAnsi="Times New Roman" w:cs="Times New Roman"/>
          <w:b/>
          <w:szCs w:val="21"/>
        </w:rPr>
        <w:t>Congreso</w:t>
      </w:r>
      <w:proofErr w:type="spellEnd"/>
      <w:r w:rsidRPr="00177EAC">
        <w:rPr>
          <w:rFonts w:ascii="Times New Roman" w:eastAsia="仿宋_GB2312" w:hAnsi="Times New Roman" w:cs="Times New Roman"/>
          <w:b/>
          <w:szCs w:val="21"/>
        </w:rPr>
        <w:t xml:space="preserve"> Popular de Shenzhen</w:t>
      </w:r>
    </w:p>
    <w:p w14:paraId="796FE546" w14:textId="77777777" w:rsidR="00835BD5" w:rsidRPr="00177EAC" w:rsidRDefault="00EB42E3" w:rsidP="008632FE">
      <w:pPr>
        <w:spacing w:line="360" w:lineRule="auto"/>
        <w:jc w:val="center"/>
        <w:rPr>
          <w:rFonts w:ascii="Times New Roman" w:eastAsia="仿宋_GB2312" w:hAnsi="Times New Roman" w:cs="Times New Roman"/>
          <w:b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/>
          <w:szCs w:val="21"/>
        </w:rPr>
        <w:t>Anuncio</w:t>
      </w:r>
      <w:proofErr w:type="spellEnd"/>
    </w:p>
    <w:p w14:paraId="54BBB706" w14:textId="77777777" w:rsidR="00835BD5" w:rsidRPr="00177EAC" w:rsidRDefault="00EB42E3" w:rsidP="008632FE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>Nº 207</w:t>
      </w:r>
    </w:p>
    <w:p w14:paraId="4069401D" w14:textId="77777777" w:rsidR="00530AFA" w:rsidRPr="00177EAC" w:rsidRDefault="00530AFA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</w:p>
    <w:p w14:paraId="20CD77B2" w14:textId="77777777" w:rsidR="00835BD5" w:rsidRPr="00177EAC" w:rsidRDefault="005C6F2E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 xml:space="preserve">     El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Reglamento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la </w:t>
      </w:r>
      <w:r w:rsidR="00FB0672" w:rsidRPr="00177EAC">
        <w:rPr>
          <w:rFonts w:ascii="Times New Roman" w:eastAsia="仿宋_GB2312" w:hAnsi="Times New Roman" w:cs="Times New Roman"/>
          <w:szCs w:val="21"/>
        </w:rPr>
        <w:t xml:space="preserve">Corte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Internacional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</w:t>
      </w:r>
      <w:proofErr w:type="spellStart"/>
      <w:r w:rsidR="00FB0672" w:rsidRPr="00177EAC">
        <w:rPr>
          <w:rFonts w:ascii="Times New Roman" w:eastAsia="仿宋_GB2312" w:hAnsi="Times New Roman" w:cs="Times New Roman"/>
          <w:szCs w:val="21"/>
        </w:rPr>
        <w:t>Arbitraje</w:t>
      </w:r>
      <w:proofErr w:type="spellEnd"/>
      <w:r w:rsidR="00FB0672" w:rsidRPr="00177EAC">
        <w:rPr>
          <w:rFonts w:ascii="Times New Roman" w:eastAsia="仿宋_GB2312" w:hAnsi="Times New Roman" w:cs="Times New Roman"/>
          <w:szCs w:val="21"/>
        </w:rPr>
        <w:t xml:space="preserve"> </w:t>
      </w:r>
      <w:r w:rsidRPr="00177EAC">
        <w:rPr>
          <w:rFonts w:ascii="Times New Roman" w:eastAsia="仿宋_GB2312" w:hAnsi="Times New Roman" w:cs="Times New Roman"/>
          <w:szCs w:val="21"/>
        </w:rPr>
        <w:t xml:space="preserve">de Shenzhen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fue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adoptado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en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su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44ª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reunión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por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el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Comité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Permanente del Sexto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Congreso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Popular de Shenzhen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el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26 de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agosto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2020.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Ahora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se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proclama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y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entrará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en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vigor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el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1 de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octubre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2020.</w:t>
      </w:r>
    </w:p>
    <w:p w14:paraId="0575B55E" w14:textId="77777777" w:rsidR="00530AFA" w:rsidRPr="00177EAC" w:rsidRDefault="00530AFA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 xml:space="preserve">　　</w:t>
      </w:r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</w:p>
    <w:p w14:paraId="0FBB987D" w14:textId="77777777" w:rsidR="00530AFA" w:rsidRPr="00177EAC" w:rsidRDefault="00530AFA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</w:p>
    <w:p w14:paraId="2AD5B5E0" w14:textId="77777777" w:rsidR="00835BD5" w:rsidRPr="00177EAC" w:rsidRDefault="00EB42E3" w:rsidP="008632FE">
      <w:pPr>
        <w:spacing w:line="360" w:lineRule="auto"/>
        <w:ind w:firstLineChars="100" w:firstLine="210"/>
        <w:jc w:val="center"/>
        <w:rPr>
          <w:rFonts w:ascii="Times New Roman" w:eastAsia="仿宋_GB2312" w:hAnsi="Times New Roman" w:cs="Times New Roman"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szCs w:val="21"/>
        </w:rPr>
        <w:t>Comité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Permanente del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Congreso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Popular de Shenzhen</w:t>
      </w:r>
    </w:p>
    <w:p w14:paraId="63AF0A45" w14:textId="77777777" w:rsidR="00835BD5" w:rsidRPr="00177EAC" w:rsidRDefault="00A21208" w:rsidP="008632FE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 xml:space="preserve">31 de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agosto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2020</w:t>
      </w:r>
      <w:r w:rsidR="00EB42E3" w:rsidRPr="00177EAC">
        <w:rPr>
          <w:rFonts w:ascii="Times New Roman" w:eastAsia="仿宋_GB2312" w:hAnsi="Times New Roman" w:cs="Times New Roman"/>
          <w:szCs w:val="21"/>
        </w:rPr>
        <w:br w:type="page"/>
      </w:r>
    </w:p>
    <w:p w14:paraId="4D29E63D" w14:textId="77777777" w:rsidR="00835BD5" w:rsidRPr="00177EAC" w:rsidRDefault="00EB42E3" w:rsidP="008632FE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/>
          <w:bCs/>
          <w:szCs w:val="21"/>
        </w:rPr>
        <w:lastRenderedPageBreak/>
        <w:t>Reglamento</w:t>
      </w:r>
      <w:proofErr w:type="spellEnd"/>
      <w:r w:rsidRPr="00177EAC">
        <w:rPr>
          <w:rFonts w:ascii="Times New Roman" w:eastAsia="仿宋_GB2312" w:hAnsi="Times New Roman" w:cs="Times New Roman"/>
          <w:b/>
          <w:bCs/>
          <w:szCs w:val="21"/>
        </w:rPr>
        <w:t xml:space="preserve"> de la </w:t>
      </w:r>
      <w:r w:rsidR="00FB0672" w:rsidRPr="00177EAC">
        <w:rPr>
          <w:rFonts w:ascii="Times New Roman" w:eastAsia="仿宋_GB2312" w:hAnsi="Times New Roman" w:cs="Times New Roman"/>
          <w:b/>
          <w:bCs/>
          <w:szCs w:val="21"/>
        </w:rPr>
        <w:t xml:space="preserve">Corte </w:t>
      </w:r>
      <w:proofErr w:type="spellStart"/>
      <w:r w:rsidRPr="00177EAC">
        <w:rPr>
          <w:rFonts w:ascii="Times New Roman" w:eastAsia="仿宋_GB2312" w:hAnsi="Times New Roman" w:cs="Times New Roman"/>
          <w:b/>
          <w:bCs/>
          <w:szCs w:val="21"/>
        </w:rPr>
        <w:t>Internacional</w:t>
      </w:r>
      <w:proofErr w:type="spellEnd"/>
      <w:r w:rsidRPr="00177EAC">
        <w:rPr>
          <w:rFonts w:ascii="Times New Roman" w:eastAsia="仿宋_GB2312" w:hAnsi="Times New Roman" w:cs="Times New Roman"/>
          <w:b/>
          <w:bCs/>
          <w:szCs w:val="21"/>
        </w:rPr>
        <w:t xml:space="preserve"> de </w:t>
      </w:r>
      <w:proofErr w:type="spellStart"/>
      <w:r w:rsidRPr="00177EAC">
        <w:rPr>
          <w:rFonts w:ascii="Times New Roman" w:eastAsia="仿宋_GB2312" w:hAnsi="Times New Roman" w:cs="Times New Roman"/>
          <w:b/>
          <w:bCs/>
          <w:szCs w:val="21"/>
        </w:rPr>
        <w:t>Arbitraje</w:t>
      </w:r>
      <w:proofErr w:type="spellEnd"/>
      <w:r w:rsidRPr="00177EAC">
        <w:rPr>
          <w:rFonts w:ascii="Times New Roman" w:eastAsia="仿宋_GB2312" w:hAnsi="Times New Roman" w:cs="Times New Roman"/>
          <w:b/>
          <w:bCs/>
          <w:szCs w:val="21"/>
        </w:rPr>
        <w:t xml:space="preserve"> de Shenzhen</w:t>
      </w:r>
    </w:p>
    <w:p w14:paraId="5B727E96" w14:textId="77777777" w:rsidR="00835BD5" w:rsidRPr="00177EAC" w:rsidRDefault="00EB42E3" w:rsidP="008632FE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>（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Adoptado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en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su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44ª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reunión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por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el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Comité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Permanente del Sexto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Congreso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Popular de Shenzhen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el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26 de </w:t>
      </w:r>
      <w:proofErr w:type="spellStart"/>
      <w:r w:rsidR="00BF17CC" w:rsidRPr="00177EAC">
        <w:rPr>
          <w:rFonts w:ascii="Times New Roman" w:eastAsia="仿宋_GB2312" w:hAnsi="Times New Roman" w:cs="Times New Roman"/>
          <w:szCs w:val="21"/>
        </w:rPr>
        <w:t>agosto</w:t>
      </w:r>
      <w:proofErr w:type="spellEnd"/>
      <w:r w:rsidR="00BF17CC" w:rsidRPr="00177EAC">
        <w:rPr>
          <w:rFonts w:ascii="Times New Roman" w:eastAsia="仿宋_GB2312" w:hAnsi="Times New Roman" w:cs="Times New Roman"/>
          <w:szCs w:val="21"/>
        </w:rPr>
        <w:t xml:space="preserve"> de 2020</w:t>
      </w:r>
      <w:r w:rsidR="00BF17CC" w:rsidRPr="00177EAC">
        <w:rPr>
          <w:rFonts w:ascii="Times New Roman" w:eastAsia="仿宋_GB2312" w:hAnsi="Times New Roman" w:cs="Times New Roman"/>
          <w:szCs w:val="21"/>
        </w:rPr>
        <w:t>）</w:t>
      </w:r>
    </w:p>
    <w:p w14:paraId="526F24D2" w14:textId="77777777" w:rsidR="00530AFA" w:rsidRPr="00177EAC" w:rsidRDefault="00530AFA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</w:p>
    <w:p w14:paraId="0CE46E73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szCs w:val="21"/>
        </w:rPr>
        <w:t>Índice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de </w:t>
      </w:r>
      <w:proofErr w:type="spellStart"/>
      <w:r w:rsidRPr="00177EAC">
        <w:rPr>
          <w:rFonts w:ascii="Times New Roman" w:eastAsia="仿宋_GB2312" w:hAnsi="Times New Roman" w:cs="Times New Roman"/>
          <w:szCs w:val="21"/>
        </w:rPr>
        <w:t>contenidos</w:t>
      </w:r>
      <w:proofErr w:type="spellEnd"/>
      <w:r w:rsidRPr="00177EAC">
        <w:rPr>
          <w:rFonts w:ascii="Times New Roman" w:eastAsia="仿宋_GB2312" w:hAnsi="Times New Roman" w:cs="Times New Roman"/>
          <w:szCs w:val="21"/>
        </w:rPr>
        <w:t xml:space="preserve"> </w:t>
      </w:r>
    </w:p>
    <w:p w14:paraId="326DE34E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1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Disposiciones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generales</w:t>
      </w:r>
      <w:proofErr w:type="spellEnd"/>
    </w:p>
    <w:p w14:paraId="3CB603A6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2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Consejo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</w:t>
      </w:r>
    </w:p>
    <w:p w14:paraId="2DB6C8C1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3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Agencia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de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ejecución</w:t>
      </w:r>
      <w:proofErr w:type="spellEnd"/>
    </w:p>
    <w:p w14:paraId="58405899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4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Reglas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y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listas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</w:t>
      </w:r>
    </w:p>
    <w:p w14:paraId="3793C02C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5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Gestión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financiera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y de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recursos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humanos</w:t>
      </w:r>
      <w:proofErr w:type="spellEnd"/>
    </w:p>
    <w:p w14:paraId="3A40229D" w14:textId="77777777" w:rsidR="00835BD5" w:rsidRPr="00177EAC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6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Mecanismo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de </w:t>
      </w: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supervisión</w:t>
      </w:r>
      <w:proofErr w:type="spellEnd"/>
    </w:p>
    <w:p w14:paraId="497CB794" w14:textId="77777777" w:rsidR="00530AFA" w:rsidRPr="00AD21E0" w:rsidRDefault="00EB42E3" w:rsidP="008632FE">
      <w:pPr>
        <w:spacing w:line="360" w:lineRule="auto"/>
        <w:rPr>
          <w:rFonts w:ascii="Times New Roman" w:eastAsia="仿宋_GB2312" w:hAnsi="Times New Roman" w:cs="Times New Roman"/>
          <w:bCs/>
          <w:szCs w:val="21"/>
        </w:rPr>
      </w:pPr>
      <w:proofErr w:type="spellStart"/>
      <w:r w:rsidRPr="00177EAC">
        <w:rPr>
          <w:rFonts w:ascii="Times New Roman" w:eastAsia="仿宋_GB2312" w:hAnsi="Times New Roman" w:cs="Times New Roman"/>
          <w:bCs/>
          <w:szCs w:val="21"/>
        </w:rPr>
        <w:t>Capítulo</w:t>
      </w:r>
      <w:proofErr w:type="spellEnd"/>
      <w:r w:rsidRPr="00177EAC">
        <w:rPr>
          <w:rFonts w:ascii="Times New Roman" w:eastAsia="仿宋_GB2312" w:hAnsi="Times New Roman" w:cs="Times New Roman"/>
          <w:bCs/>
          <w:szCs w:val="21"/>
        </w:rPr>
        <w:t xml:space="preserve"> 7 </w:t>
      </w:r>
      <w:proofErr w:type="spellStart"/>
      <w:r w:rsidRPr="00177EAC">
        <w:rPr>
          <w:rFonts w:ascii="Times New Roman" w:eastAsia="宋体" w:hAnsi="Times New Roman" w:cs="Times New Roman"/>
          <w:bCs/>
          <w:kern w:val="0"/>
          <w:szCs w:val="21"/>
        </w:rPr>
        <w:t>Disposición</w:t>
      </w:r>
      <w:proofErr w:type="spellEnd"/>
      <w:r w:rsidRPr="00177EAC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proofErr w:type="spellStart"/>
      <w:r w:rsidRPr="00177EAC">
        <w:rPr>
          <w:rFonts w:ascii="Times New Roman" w:eastAsia="宋体" w:hAnsi="Times New Roman" w:cs="Times New Roman"/>
          <w:bCs/>
          <w:kern w:val="0"/>
          <w:szCs w:val="21"/>
        </w:rPr>
        <w:t>complementaria</w:t>
      </w:r>
      <w:proofErr w:type="spellEnd"/>
    </w:p>
    <w:p w14:paraId="509B7ABD" w14:textId="77777777" w:rsidR="00530AFA" w:rsidRPr="00177EAC" w:rsidRDefault="00530AFA" w:rsidP="008632FE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Cs w:val="21"/>
        </w:rPr>
      </w:pPr>
      <w:r w:rsidRPr="00177EAC">
        <w:rPr>
          <w:rFonts w:ascii="Times New Roman" w:eastAsia="仿宋_GB2312" w:hAnsi="Times New Roman" w:cs="Times New Roman"/>
          <w:szCs w:val="21"/>
        </w:rPr>
        <w:t xml:space="preserve">  </w:t>
      </w:r>
    </w:p>
    <w:p w14:paraId="77C0738E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1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Disposiciones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generales</w:t>
      </w:r>
      <w:proofErr w:type="spellEnd"/>
    </w:p>
    <w:p w14:paraId="2D1E190E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1. Con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fin de regular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funcionamiento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institucional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Corte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de Shenzhen,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garantizar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independencia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imparcialidad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eficacia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comerciales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salvaguardar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los derechos 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intereses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legítimos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presente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se formula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los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principios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básicos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Ley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República Popular China y las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leyes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administrativos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76B3FB56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2. La Corte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de Shenzhen (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adelante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la Corte </w:t>
      </w:r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de </w:t>
      </w:r>
      <w:proofErr w:type="spellStart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)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será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establecida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Popular Municipal de Shenzhen (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adelante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Popular Municipal)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conformidad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ley, para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desempeñar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Comisión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virtud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Ley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República Popular China y para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gestionar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operar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este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71BDF67E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</w:t>
      </w:r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Corte de </w:t>
      </w:r>
      <w:proofErr w:type="spellStart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E5A55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también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utiliza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Económico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Comercial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China Meridional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Shenzhen.</w:t>
      </w:r>
    </w:p>
    <w:p w14:paraId="1FA6417A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3. </w:t>
      </w:r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es una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institución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estatutaria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sin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ánimo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lucro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82AA8FB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aplica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corporativo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Administración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núcleo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unidad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orgánica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decisión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ejecución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supervisión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7A17FD9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4</w:t>
      </w:r>
      <w:r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. </w:t>
      </w:r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El Tribunal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es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independiente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poder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ejecutivo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79B2796D" w14:textId="77777777" w:rsidR="00835BD5" w:rsidRPr="008632FE" w:rsidRDefault="001F1252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lleva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cabo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forma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independiente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ley y no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sujeto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interferencia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órganos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administrativos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grupos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individuos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EE94362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5. </w:t>
      </w:r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recurrir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a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a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facilitación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negociación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al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peritaje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gram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</w:t>
      </w:r>
      <w:proofErr w:type="gram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formas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acordadas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solicitadas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interfaz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orgánica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para resolver los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contractuales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derechos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propiedad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entre personas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físicas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nacionales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extranjeras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, personas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jurídicas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organizaciones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65CAD8F2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tribunal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debería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explorar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activamente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inversión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1F1ADA8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6. </w:t>
      </w:r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está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domiciliada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la Zona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Industria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Servicios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Modernos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Qianhai Shenzhen-Hong Kong, que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sirve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plataforma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materia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la Zona </w:t>
      </w:r>
      <w:proofErr w:type="spellStart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>Económica</w:t>
      </w:r>
      <w:proofErr w:type="spellEnd"/>
      <w:r w:rsidR="001F1252"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Shenzhen.</w:t>
      </w:r>
    </w:p>
    <w:p w14:paraId="1F9FD588" w14:textId="77777777" w:rsidR="00835BD5" w:rsidRPr="008632FE" w:rsidRDefault="001F1252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reforzará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intercambios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Hong Kong y Macao,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extranjeras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innovará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mecanismos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disputas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comerciales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promoverá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construcción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centro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Gran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Área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Bahía de Guangdong-Hong Kong-Macao. </w:t>
      </w:r>
    </w:p>
    <w:p w14:paraId="51CF9188" w14:textId="77777777" w:rsidR="00835BD5" w:rsidRPr="008632FE" w:rsidRDefault="001F1252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sucursales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centros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judiciales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país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30EE10E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7. </w:t>
      </w:r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Para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crear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inteligente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proporcionar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servicios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rápidos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cómodos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las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, la Corte de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hará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amplio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uso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de Internet, big data,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inteligencia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artificial y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tecnologías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información</w:t>
      </w:r>
      <w:proofErr w:type="spellEnd"/>
      <w:r w:rsidR="00865EA8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0CDC96FA" w14:textId="77777777" w:rsidR="00AD21E0" w:rsidRPr="008632FE" w:rsidRDefault="00AD21E0" w:rsidP="008632FE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  <w:szCs w:val="21"/>
        </w:rPr>
      </w:pPr>
    </w:p>
    <w:p w14:paraId="0598B3D7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lastRenderedPageBreak/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2 </w:t>
      </w:r>
      <w:proofErr w:type="spellStart"/>
      <w:r w:rsidR="00FB0672" w:rsidRPr="008632FE">
        <w:rPr>
          <w:rFonts w:ascii="Times New Roman" w:eastAsia="仿宋_GB2312" w:hAnsi="Times New Roman" w:cs="Times New Roman"/>
          <w:b/>
          <w:sz w:val="24"/>
          <w:szCs w:val="21"/>
        </w:rPr>
        <w:t>Consejo</w:t>
      </w:r>
      <w:proofErr w:type="spellEnd"/>
    </w:p>
    <w:p w14:paraId="4E37E95D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8. El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Tribunal de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establece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autoridad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decisoria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52007FB5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9.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se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compone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once a quince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. 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tiene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dos a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cuatro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vicepresidentes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7830244F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personas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profesión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jurídica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comunidad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empresarial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campos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relacionados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tanto de dentro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China, entre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no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un tercio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número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total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Administrativa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Hong Kong,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Administrativa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Macao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países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extranjeros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69EDD791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10.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vicepresidente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los </w:t>
      </w:r>
      <w:proofErr w:type="spellStart"/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>miembros</w:t>
      </w:r>
      <w:proofErr w:type="spellEnd"/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 del </w:t>
      </w:r>
      <w:proofErr w:type="spellStart"/>
      <w:r w:rsidR="00556284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556284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son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nombrados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municipal. </w:t>
      </w:r>
    </w:p>
    <w:p w14:paraId="6473D307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tiene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mandato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cinco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años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los </w:t>
      </w:r>
      <w:proofErr w:type="spellStart"/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>miembros</w:t>
      </w:r>
      <w:proofErr w:type="spellEnd"/>
      <w:r w:rsidR="00556284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 del </w:t>
      </w:r>
      <w:proofErr w:type="spellStart"/>
      <w:r w:rsidR="00556284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556284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pueden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reelegidos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al final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mandato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A73AF53" w14:textId="77777777" w:rsidR="00835BD5" w:rsidRPr="008632FE" w:rsidRDefault="009B501F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 </w:t>
      </w:r>
      <w:r w:rsidR="00EB42E3" w:rsidRPr="008632FE">
        <w:rPr>
          <w:rFonts w:ascii="Times New Roman" w:eastAsia="仿宋_GB2312" w:hAnsi="Times New Roman" w:cs="Times New Roman"/>
          <w:sz w:val="24"/>
          <w:szCs w:val="21"/>
        </w:rPr>
        <w:t xml:space="preserve">los </w:t>
      </w:r>
      <w:proofErr w:type="spellStart"/>
      <w:r w:rsidR="00EB42E3"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="00EB42E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EB42E3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del </w:t>
      </w:r>
      <w:proofErr w:type="spellStart"/>
      <w:r w:rsidR="00EB42E3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EB42E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parecen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incapaces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desempeñar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sus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municipal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destituirlos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5319DFB0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11. 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desempeña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siguientes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="009B501F" w:rsidRPr="008632FE">
        <w:rPr>
          <w:rFonts w:ascii="Times New Roman" w:eastAsia="仿宋_GB2312" w:hAnsi="Times New Roman" w:cs="Times New Roman"/>
          <w:sz w:val="24"/>
          <w:szCs w:val="21"/>
        </w:rPr>
        <w:t xml:space="preserve">: </w:t>
      </w:r>
    </w:p>
    <w:p w14:paraId="22A7494B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Finalizar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modificar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constitución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normas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06B37A5F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Proponer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candidato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presidencia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E6A43DD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Aprobar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creación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modificación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supresión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comisiones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composición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mismas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3DBA3559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Finalizar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contratación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despido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mismos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2B9D7CC9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Finalizar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anual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financieros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presupuestarios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cuentas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finales. </w:t>
      </w:r>
    </w:p>
    <w:p w14:paraId="53C9029C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Validar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establecimiento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programas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cambio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ramas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tamaño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personal.</w:t>
      </w:r>
    </w:p>
    <w:p w14:paraId="61760179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 xml:space="preserve">Desarrollo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importantes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normas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gestión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empleo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personal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072360E4" w14:textId="77777777" w:rsidR="00835BD5" w:rsidRPr="008632FE" w:rsidRDefault="00EB42E3" w:rsidP="008632FE">
      <w:pPr>
        <w:pStyle w:val="a5"/>
        <w:numPr>
          <w:ilvl w:val="2"/>
          <w:numId w:val="4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previstas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estatuto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348CDD0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12.  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ejerce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siguientes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: </w:t>
      </w:r>
    </w:p>
    <w:p w14:paraId="4B0C8D3D" w14:textId="77777777" w:rsidR="00835BD5" w:rsidRPr="008632FE" w:rsidRDefault="00EB42E3" w:rsidP="008632FE">
      <w:pPr>
        <w:pStyle w:val="a5"/>
        <w:numPr>
          <w:ilvl w:val="2"/>
          <w:numId w:val="6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Convocar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reuniones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；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</w:p>
    <w:p w14:paraId="3B932D8F" w14:textId="77777777" w:rsidR="00835BD5" w:rsidRPr="008632FE" w:rsidRDefault="00EB42E3" w:rsidP="008632FE">
      <w:pPr>
        <w:pStyle w:val="a5"/>
        <w:numPr>
          <w:ilvl w:val="2"/>
          <w:numId w:val="6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Comprobación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；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</w:p>
    <w:p w14:paraId="18479CF8" w14:textId="77777777" w:rsidR="00835BD5" w:rsidRPr="008632FE" w:rsidRDefault="00EB42E3" w:rsidP="008632FE">
      <w:pPr>
        <w:pStyle w:val="a5"/>
        <w:numPr>
          <w:ilvl w:val="2"/>
          <w:numId w:val="6"/>
        </w:num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estipuladas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constitución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0E5D9DA7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13. Las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reuniones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celebran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una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vez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cada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seis meses, y son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convocadas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presididas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función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necesidades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o de la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propuesta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escrita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tres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más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87B" w:rsidRPr="008632FE">
        <w:rPr>
          <w:rFonts w:ascii="Times New Roman" w:eastAsia="仿宋_GB2312" w:hAnsi="Times New Roman" w:cs="Times New Roman" w:hint="eastAsia"/>
          <w:sz w:val="24"/>
          <w:szCs w:val="21"/>
        </w:rPr>
        <w:t>miembros</w:t>
      </w:r>
      <w:proofErr w:type="spellEnd"/>
      <w:r w:rsidR="00A2487B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 del </w:t>
      </w:r>
      <w:proofErr w:type="spellStart"/>
      <w:r w:rsidR="00A2487B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. El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delegar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vicepresidente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que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convoque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presida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nombre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3875D50D" w14:textId="77777777" w:rsidR="00835BD5" w:rsidRPr="008632FE" w:rsidRDefault="00FB0672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reuniones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sólo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celebrarán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dos tercios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todos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sus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votaciones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realizan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votación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adoptan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mayoría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dos tercios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reunión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;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modificaciones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Estatutos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adoptan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mayoría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cuartos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todos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1B7B3535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14. La Corte de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establecerá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estatutos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presente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dispondrá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 xml:space="preserve"> lo </w:t>
      </w:r>
      <w:proofErr w:type="spellStart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siguiente</w:t>
      </w:r>
      <w:proofErr w:type="spellEnd"/>
      <w:r w:rsidR="00FB0672" w:rsidRPr="008632FE">
        <w:rPr>
          <w:rFonts w:ascii="Times New Roman" w:eastAsia="仿宋_GB2312" w:hAnsi="Times New Roman" w:cs="Times New Roman"/>
          <w:sz w:val="24"/>
          <w:szCs w:val="21"/>
        </w:rPr>
        <w:t>:</w:t>
      </w:r>
    </w:p>
    <w:p w14:paraId="60B4F1CB" w14:textId="77777777" w:rsidR="00835BD5" w:rsidRPr="008632FE" w:rsidRDefault="00EB42E3" w:rsidP="008632FE">
      <w:pPr>
        <w:pStyle w:val="a5"/>
        <w:numPr>
          <w:ilvl w:val="2"/>
          <w:numId w:val="9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Condiciones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cargo, modo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elección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r w:rsidR="00A2487B"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18ACD3C9" w14:textId="77777777" w:rsidR="00835BD5" w:rsidRPr="008632FE" w:rsidRDefault="00EB42E3" w:rsidP="008632FE">
      <w:pPr>
        <w:pStyle w:val="a5"/>
        <w:numPr>
          <w:ilvl w:val="2"/>
          <w:numId w:val="9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Sistema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deliberación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 w:hint="eastAsia"/>
          <w:sz w:val="24"/>
          <w:szCs w:val="21"/>
        </w:rPr>
        <w:t>.</w:t>
      </w:r>
    </w:p>
    <w:p w14:paraId="39459418" w14:textId="77777777" w:rsidR="00835BD5" w:rsidRPr="008632FE" w:rsidRDefault="00EB42E3" w:rsidP="008632FE">
      <w:pPr>
        <w:pStyle w:val="a5"/>
        <w:numPr>
          <w:ilvl w:val="2"/>
          <w:numId w:val="9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Implementación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Sistema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Deliberación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Agencia</w:t>
      </w:r>
      <w:proofErr w:type="spellEnd"/>
      <w:r w:rsidRPr="008632FE">
        <w:rPr>
          <w:rFonts w:ascii="Times New Roman" w:eastAsia="仿宋_GB2312" w:hAnsi="Times New Roman" w:cs="Times New Roman" w:hint="eastAsia"/>
          <w:sz w:val="24"/>
          <w:szCs w:val="21"/>
        </w:rPr>
        <w:t>.</w:t>
      </w:r>
    </w:p>
    <w:p w14:paraId="3D4F40E6" w14:textId="77777777" w:rsidR="00835BD5" w:rsidRPr="008632FE" w:rsidRDefault="00EB42E3" w:rsidP="008632FE">
      <w:pPr>
        <w:pStyle w:val="a5"/>
        <w:numPr>
          <w:ilvl w:val="2"/>
          <w:numId w:val="9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Sistema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contabilidad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4798BC7" w14:textId="77777777" w:rsidR="00835BD5" w:rsidRPr="008632FE" w:rsidRDefault="00EB42E3" w:rsidP="008632FE">
      <w:pPr>
        <w:pStyle w:val="a5"/>
        <w:numPr>
          <w:ilvl w:val="2"/>
          <w:numId w:val="9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cuestiones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especificarse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65F40B10" w14:textId="77777777" w:rsidR="00835BD5" w:rsidRPr="008632FE" w:rsidRDefault="00005F0F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presentará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Estatutos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Popular Municipal. </w:t>
      </w:r>
    </w:p>
    <w:p w14:paraId="5E594060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15. El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podrá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crear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siguientes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comités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>especiales</w:t>
      </w:r>
      <w:proofErr w:type="spellEnd"/>
      <w:r w:rsidR="00005F0F" w:rsidRPr="008632FE">
        <w:rPr>
          <w:rFonts w:ascii="Times New Roman" w:eastAsia="仿宋_GB2312" w:hAnsi="Times New Roman" w:cs="Times New Roman"/>
          <w:sz w:val="24"/>
          <w:szCs w:val="21"/>
        </w:rPr>
        <w:t xml:space="preserve">: </w:t>
      </w:r>
    </w:p>
    <w:p w14:paraId="21077B5E" w14:textId="77777777" w:rsidR="00835BD5" w:rsidRPr="008632FE" w:rsidRDefault="00EB42E3" w:rsidP="008632FE">
      <w:pPr>
        <w:pStyle w:val="a5"/>
        <w:numPr>
          <w:ilvl w:val="2"/>
          <w:numId w:val="11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Desarrollo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Estratégico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que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encarga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evaluar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estrategia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desarrollo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cierto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tiempo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presentar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sus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comentarios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reunión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37148C7B" w14:textId="77777777" w:rsidR="00835BD5" w:rsidRPr="008632FE" w:rsidRDefault="00EB42E3" w:rsidP="008632FE">
      <w:pPr>
        <w:pStyle w:val="a5"/>
        <w:numPr>
          <w:ilvl w:val="2"/>
          <w:numId w:val="11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Examen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Calificaciones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Conducta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que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encarga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examinar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calificaciones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empleo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supervisar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conducta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profesional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disciplinar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infracciones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proponer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dictámenes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despido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renovación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empleo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A5E2187" w14:textId="77777777" w:rsidR="00835BD5" w:rsidRPr="008632FE" w:rsidRDefault="00EB42E3" w:rsidP="008632FE">
      <w:pPr>
        <w:pStyle w:val="a5"/>
        <w:numPr>
          <w:ilvl w:val="2"/>
          <w:numId w:val="11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Supervisión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Evaluación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Remuneraciones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que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encarga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emitir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dictámenes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presupuesto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anual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cuentas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definitivas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evaluar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supervisar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personal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y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encargo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una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auditoría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838FF85" w14:textId="77777777" w:rsidR="00835BD5" w:rsidRPr="008632FE" w:rsidRDefault="00EB42E3" w:rsidP="008632FE">
      <w:pPr>
        <w:pStyle w:val="a5"/>
        <w:numPr>
          <w:ilvl w:val="2"/>
          <w:numId w:val="11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Hong Kong y Macao,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encargado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promover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intercambios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Hong Kong y Macao. </w:t>
      </w:r>
    </w:p>
    <w:p w14:paraId="3DAF9C75" w14:textId="77777777" w:rsidR="00835BD5" w:rsidRPr="008632FE" w:rsidRDefault="00EB42E3" w:rsidP="008632FE">
      <w:pPr>
        <w:pStyle w:val="a5"/>
        <w:numPr>
          <w:ilvl w:val="2"/>
          <w:numId w:val="11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crearse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15121A2F" w14:textId="77777777" w:rsidR="00835BD5" w:rsidRPr="008632FE" w:rsidRDefault="00005F0F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directores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subdirectores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Pr="008632FE">
        <w:rPr>
          <w:rFonts w:ascii="Times New Roman" w:eastAsia="仿宋_GB2312" w:hAnsi="Times New Roman" w:cs="Times New Roman" w:hint="eastAsia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 w:hint="eastAsia"/>
          <w:sz w:val="24"/>
          <w:szCs w:val="21"/>
        </w:rPr>
        <w:t xml:space="preserve"> 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del </w:t>
      </w:r>
      <w:proofErr w:type="spellStart"/>
      <w:r w:rsidR="00A2487B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2834334" w14:textId="77777777" w:rsidR="00530AFA" w:rsidRPr="008632FE" w:rsidRDefault="00530AFA" w:rsidP="008632FE">
      <w:pPr>
        <w:spacing w:line="360" w:lineRule="auto"/>
        <w:ind w:firstLineChars="200" w:firstLine="480"/>
        <w:jc w:val="center"/>
        <w:rPr>
          <w:rFonts w:ascii="Times New Roman" w:eastAsia="仿宋_GB2312" w:hAnsi="Times New Roman" w:cs="Times New Roman"/>
          <w:sz w:val="24"/>
          <w:szCs w:val="21"/>
        </w:rPr>
      </w:pPr>
    </w:p>
    <w:p w14:paraId="30B622B2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3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Agencia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ejecución</w:t>
      </w:r>
      <w:proofErr w:type="spellEnd"/>
    </w:p>
    <w:p w14:paraId="565DC36E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16. La Corte de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cuenta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un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varios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vicedecanos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internas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y las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sucursales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que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sean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necesarias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661F38B6" w14:textId="77777777" w:rsidR="00835BD5" w:rsidRPr="008632FE" w:rsidRDefault="002A66D6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representante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legal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es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responsable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ante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supervisa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vicedecano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asiste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labor.</w:t>
      </w:r>
    </w:p>
    <w:p w14:paraId="56CF9195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17. Los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candidatos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a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nombrados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, los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candidatos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a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vicedecano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nombrados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, de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autoridad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y los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procedimientos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gestión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designados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gobierno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municipal.</w:t>
      </w:r>
    </w:p>
    <w:p w14:paraId="7410D772" w14:textId="77777777" w:rsidR="00835BD5" w:rsidRPr="008632FE" w:rsidRDefault="002A66D6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entre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52613D8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18. El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ejerce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siguientes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="002A66D6" w:rsidRPr="008632FE">
        <w:rPr>
          <w:rFonts w:ascii="Times New Roman" w:eastAsia="仿宋_GB2312" w:hAnsi="Times New Roman" w:cs="Times New Roman"/>
          <w:sz w:val="24"/>
          <w:szCs w:val="21"/>
        </w:rPr>
        <w:t xml:space="preserve">: </w:t>
      </w:r>
    </w:p>
    <w:p w14:paraId="60D420CE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ejecutar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44FB68C9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Responsable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gestión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diaria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BEFBAB6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Nombramiento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vicedecano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6DAD433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contratación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despido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facilitación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negociación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040B7A94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formación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evaluación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76A2F45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preparación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anuales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presupuesto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financiero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finales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cuentas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creación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agencias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sucursales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programas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cambio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someterlos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consideración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4FA44A0D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fijación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puestos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agencias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sucursales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condiciones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empleo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personal,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despedir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al personal.</w:t>
      </w:r>
    </w:p>
    <w:p w14:paraId="6CB9A259" w14:textId="77777777" w:rsidR="00835BD5" w:rsidRPr="008632FE" w:rsidRDefault="00EB42E3" w:rsidP="008632FE">
      <w:pPr>
        <w:pStyle w:val="a5"/>
        <w:numPr>
          <w:ilvl w:val="2"/>
          <w:numId w:val="13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funciones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previstas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estatuto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normas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y las que le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asigne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8961111" w14:textId="77777777" w:rsidR="00530AFA" w:rsidRPr="008632FE" w:rsidRDefault="00530AFA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</w:p>
    <w:p w14:paraId="20197FD6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4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listas</w:t>
      </w:r>
      <w:proofErr w:type="spellEnd"/>
    </w:p>
    <w:p w14:paraId="0D49F33C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19.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conformidad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leyes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disposiciones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inspirará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avanzado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respetará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autonomía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salvaguardará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independencia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principio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básico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formulará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facilitación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negociación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disputas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69050B01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20.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extranjeras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podrán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acordar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tanto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extranjeras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o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CNUDMI,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podrán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acordar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introducción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cambios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contenido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acordar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ley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aplicable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forma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constitución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forma de audiencia,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prueba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idioma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lugar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audiencia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lugar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018406C6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precedente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ser susceptible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no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contradecir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disposiciones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legales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obligatorias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lugar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41049280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21.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empleará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personas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imparciales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no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un tercio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Administrativa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Hong Kong,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Administrativa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Macao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países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extranjeros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677517A8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según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criterios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tales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diferentes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especialidades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industrias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áreas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geográficas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12198790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22.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innovará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activamente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alentará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gramStart"/>
      <w:r w:rsidRPr="008632FE">
        <w:rPr>
          <w:rFonts w:ascii="Times New Roman" w:eastAsia="仿宋_GB2312" w:hAnsi="Times New Roman" w:cs="Times New Roman"/>
          <w:sz w:val="24"/>
          <w:szCs w:val="21"/>
        </w:rPr>
        <w:t>a</w:t>
      </w:r>
      <w:proofErr w:type="gram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ejercer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plenamente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derecho 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promoverá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designación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conjunta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presidente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único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87258A1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23.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podrá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promoción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negociación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según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necesario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55BF16F7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24. Si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CNUDMI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ad hoc,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podrán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miembros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tribunal arbitral 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partir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proporcionada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externas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1EE0F2F3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ponen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composición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tribunal arbitral que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lista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confirmará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calificado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actuar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caso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6D5195D" w14:textId="77777777" w:rsidR="00835BD5" w:rsidRPr="008632FE" w:rsidRDefault="000F5E3E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25. Si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llegan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controversia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Zona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Económica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Especial de Shenzhen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específicas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por personas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específicas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lleva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cabo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consecuencia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puede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proporcionar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asistencia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necesaria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nombramiento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menos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cosa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283ACA65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26.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establecerá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código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ético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divulgación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recusación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mismos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mejorará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supervisión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calificaciones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27354B6" w14:textId="77777777" w:rsidR="00530AFA" w:rsidRPr="008632FE" w:rsidRDefault="00530AFA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</w:p>
    <w:p w14:paraId="4D85CA05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5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Gestión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financiera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y de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recursos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humanos</w:t>
      </w:r>
      <w:proofErr w:type="spellEnd"/>
    </w:p>
    <w:p w14:paraId="20A3FE0E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27. </w:t>
      </w:r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El Tribunal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establecerá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gestión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financiera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y patrimonial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adecuado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al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órgano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estatutario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4E562990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incluyen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: </w:t>
      </w:r>
    </w:p>
    <w:p w14:paraId="5A856848" w14:textId="77777777" w:rsidR="00835BD5" w:rsidRPr="008632FE" w:rsidRDefault="00EB42E3" w:rsidP="008632FE">
      <w:pPr>
        <w:pStyle w:val="a5"/>
        <w:numPr>
          <w:ilvl w:val="2"/>
          <w:numId w:val="15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  <w:lang w:val="fr-FR"/>
        </w:rPr>
      </w:pPr>
      <w:r w:rsidRPr="008632FE">
        <w:rPr>
          <w:rFonts w:ascii="Times New Roman" w:eastAsia="仿宋_GB2312" w:hAnsi="Times New Roman" w:cs="Times New Roman"/>
          <w:sz w:val="24"/>
          <w:szCs w:val="21"/>
          <w:lang w:val="fr-FR"/>
        </w:rPr>
        <w:t>Gastos de arbitraje.</w:t>
      </w:r>
    </w:p>
    <w:p w14:paraId="4AFE6C5F" w14:textId="77777777" w:rsidR="00835BD5" w:rsidRPr="008632FE" w:rsidRDefault="00EB42E3" w:rsidP="008632FE">
      <w:pPr>
        <w:pStyle w:val="a5"/>
        <w:numPr>
          <w:ilvl w:val="2"/>
          <w:numId w:val="15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facilitación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negociación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honorarios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evaluación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1D9046AA" w14:textId="77777777" w:rsidR="00835BD5" w:rsidRPr="008632FE" w:rsidRDefault="00EB42E3" w:rsidP="008632FE">
      <w:pPr>
        <w:pStyle w:val="a5"/>
        <w:numPr>
          <w:ilvl w:val="2"/>
          <w:numId w:val="15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ingresos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legítimos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2F3AC8B" w14:textId="77777777" w:rsidR="00835BD5" w:rsidRPr="008632FE" w:rsidRDefault="0080560D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28. </w:t>
      </w:r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establecerá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empleo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basado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mercado y con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competitividad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podrá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crear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puestos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según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necesidades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emplear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a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profesionales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nacionales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extranjeros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construir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servicio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profesional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y un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equipo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gestión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192F2099" w14:textId="77777777" w:rsidR="00835BD5" w:rsidRPr="008632FE" w:rsidRDefault="0093282F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nombramiento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adaptación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cese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puestos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determinados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Decano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gestionados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contrato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400247BA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29. </w:t>
      </w:r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sucursales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internas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debe ser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presentada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ante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departamento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establecimiento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municipales</w:t>
      </w:r>
      <w:proofErr w:type="spellEnd"/>
      <w:r w:rsidR="0093282F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286829D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plataforma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construida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departamentos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gubernamentales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empresas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instituciones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grupos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sociales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organizaciones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gestionará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leyes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cooperación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estatuto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6D4D84EB" w14:textId="77777777" w:rsidR="00835BD5" w:rsidRPr="008632FE" w:rsidRDefault="0080560D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30. </w:t>
      </w:r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Con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referencia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a la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práctica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al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nivel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mercado de la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misma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industria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, la Corte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podrá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desarrollar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honorarios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la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disputas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, un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los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un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sistema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personal de la Corte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, y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establecer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evaluación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ajuste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regular de la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un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mecanismo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incentivos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 a largo </w:t>
      </w:r>
      <w:proofErr w:type="spellStart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>plazo</w:t>
      </w:r>
      <w:proofErr w:type="spellEnd"/>
      <w:r w:rsidR="002B7082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51F11AF0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personal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participarán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seguridad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social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ley, y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disposiciones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pertinentes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fondo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vivienda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renta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vitalicia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sistemas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29A354DC" w14:textId="77777777" w:rsidR="00530AFA" w:rsidRPr="008632FE" w:rsidRDefault="00530AFA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</w:p>
    <w:p w14:paraId="79FB566F" w14:textId="77777777" w:rsidR="00835BD5" w:rsidRPr="008632FE" w:rsidRDefault="00EB42E3" w:rsidP="008632FE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6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Mecanismo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supervisión</w:t>
      </w:r>
      <w:proofErr w:type="spellEnd"/>
    </w:p>
    <w:p w14:paraId="3A2FCA59" w14:textId="77777777" w:rsidR="00835BD5" w:rsidRPr="008632FE" w:rsidRDefault="0080560D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31. Las </w:t>
      </w:r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solicitudes de las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preservación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bienes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preservación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pruebas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otras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medidas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provisionales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las solicitudes de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confirmación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validez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serán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examinadas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tribunal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competente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conformidad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leyes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reglamentos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aplicables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sede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56729312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solicitan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anulación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ejecución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o la no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ejecución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un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laudo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arbitral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dictado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territorio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solicitan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reconocimiento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ejecución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decisión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dictada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fuera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territorio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deben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hacerlo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leyes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convenios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internacionales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aplicables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0480F21C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32. </w:t>
      </w:r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supervisa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ejecución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decisiones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parte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órganos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ejecutivos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aprueba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los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informes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anuales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evalúa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actuación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órganos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ejecutivos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61D4C41B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33. El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del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para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Examen de las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Cualificaciones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la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Conducta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Comité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Supervisión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Financiera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Evaluación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Remuneración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supervisan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contratación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desempeño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trabajo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financiero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respectivamente</w:t>
      </w:r>
      <w:proofErr w:type="spellEnd"/>
      <w:r w:rsidR="00A66873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A7438E5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lastRenderedPageBreak/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34. </w:t>
      </w:r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debe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estar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sujeta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a la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supervisión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financiera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auditoría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acuerdo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 la ley. </w:t>
      </w:r>
    </w:p>
    <w:p w14:paraId="17B7710D" w14:textId="77777777" w:rsidR="00835BD5" w:rsidRPr="008632FE" w:rsidRDefault="0080560D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35. </w:t>
      </w:r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La Corte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hará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públicos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página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oficial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Internet los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siguientes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asuntos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para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su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consulta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pública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control social: </w:t>
      </w:r>
    </w:p>
    <w:p w14:paraId="7378BA9D" w14:textId="77777777" w:rsidR="00835BD5" w:rsidRPr="008632FE" w:rsidRDefault="00EB42E3" w:rsidP="008632FE">
      <w:pPr>
        <w:pStyle w:val="a5"/>
        <w:numPr>
          <w:ilvl w:val="2"/>
          <w:numId w:val="17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anual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actividades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así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como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presupuesto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financiero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cuentas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definitivas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según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lo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autorizado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Consejo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. </w:t>
      </w:r>
    </w:p>
    <w:p w14:paraId="799C1065" w14:textId="77777777" w:rsidR="00835BD5" w:rsidRPr="008632FE" w:rsidRDefault="00EB42E3" w:rsidP="008632FE">
      <w:pPr>
        <w:pStyle w:val="a5"/>
        <w:numPr>
          <w:ilvl w:val="2"/>
          <w:numId w:val="17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Normas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litigios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procesos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notificación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tasas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instrumentos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formulario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732DDA2A" w14:textId="77777777" w:rsidR="00835BD5" w:rsidRPr="008632FE" w:rsidRDefault="00EB42E3" w:rsidP="008632FE">
      <w:pPr>
        <w:pStyle w:val="a5"/>
        <w:numPr>
          <w:ilvl w:val="2"/>
          <w:numId w:val="17"/>
        </w:numPr>
        <w:spacing w:line="360" w:lineRule="auto"/>
        <w:ind w:left="426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Información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sobre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la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formación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antecedentes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profesionales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los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árbitros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mediación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otros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expertos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resolución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conflictos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4117779E" w14:textId="77777777" w:rsidR="00E92798" w:rsidRPr="008632FE" w:rsidRDefault="00E92798" w:rsidP="008632FE">
      <w:pPr>
        <w:pStyle w:val="a5"/>
        <w:spacing w:line="360" w:lineRule="auto"/>
        <w:ind w:left="1260" w:firstLine="480"/>
        <w:rPr>
          <w:rFonts w:ascii="Times New Roman" w:eastAsia="仿宋_GB2312" w:hAnsi="Times New Roman" w:cs="Times New Roman"/>
          <w:sz w:val="24"/>
          <w:szCs w:val="21"/>
        </w:rPr>
      </w:pPr>
    </w:p>
    <w:p w14:paraId="3C54B3B4" w14:textId="77777777" w:rsidR="00835BD5" w:rsidRPr="008632FE" w:rsidRDefault="00EB42E3" w:rsidP="008632FE">
      <w:pPr>
        <w:widowControl/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>Capítulo</w:t>
      </w:r>
      <w:proofErr w:type="spellEnd"/>
      <w:r w:rsidRPr="008632FE">
        <w:rPr>
          <w:rFonts w:ascii="Times New Roman" w:eastAsia="仿宋_GB2312" w:hAnsi="Times New Roman" w:cs="Times New Roman"/>
          <w:b/>
          <w:sz w:val="24"/>
          <w:szCs w:val="21"/>
        </w:rPr>
        <w:t xml:space="preserve"> 7 </w:t>
      </w:r>
      <w:proofErr w:type="spellStart"/>
      <w:r w:rsidRPr="008632FE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>Disposición</w:t>
      </w:r>
      <w:proofErr w:type="spellEnd"/>
      <w:r w:rsidRPr="008632FE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>complementaria</w:t>
      </w:r>
      <w:proofErr w:type="spellEnd"/>
    </w:p>
    <w:p w14:paraId="187EC8ED" w14:textId="77777777" w:rsidR="00835BD5" w:rsidRPr="008632FE" w:rsidRDefault="00EB42E3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36. </w:t>
      </w:r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Si las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acuerdan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la Corte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, la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Comisión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Económico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y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Comercial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Internacional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China Meridional o la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Comisión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Shenzhen, la Corte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aceptará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52EED8FB" w14:textId="11344C3F" w:rsidR="00835BD5" w:rsidRPr="008632FE" w:rsidRDefault="00A24D82" w:rsidP="008632F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1"/>
        </w:rPr>
      </w:pP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Si las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partes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acuerdan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sea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conducido</w:t>
      </w:r>
      <w:proofErr w:type="spellEnd"/>
      <w:r w:rsidR="00647931" w:rsidRPr="00647931">
        <w:t xml:space="preserve"> </w:t>
      </w:r>
      <w:r w:rsidR="00647931" w:rsidRPr="00647931">
        <w:rPr>
          <w:rFonts w:ascii="Times New Roman" w:eastAsia="仿宋_GB2312" w:hAnsi="Times New Roman" w:cs="Times New Roman"/>
          <w:sz w:val="24"/>
          <w:szCs w:val="21"/>
        </w:rPr>
        <w:t xml:space="preserve">por la </w:t>
      </w:r>
      <w:proofErr w:type="spellStart"/>
      <w:r w:rsidR="00647931" w:rsidRPr="00647931">
        <w:rPr>
          <w:rFonts w:ascii="Times New Roman" w:eastAsia="仿宋_GB2312" w:hAnsi="Times New Roman" w:cs="Times New Roman"/>
          <w:sz w:val="24"/>
          <w:szCs w:val="21"/>
        </w:rPr>
        <w:t>Subcomisión</w:t>
      </w:r>
      <w:proofErr w:type="spellEnd"/>
      <w:r w:rsidR="00647931" w:rsidRPr="00647931">
        <w:rPr>
          <w:rFonts w:ascii="Times New Roman" w:eastAsia="仿宋_GB2312" w:hAnsi="Times New Roman" w:cs="Times New Roman"/>
          <w:sz w:val="24"/>
          <w:szCs w:val="21"/>
        </w:rPr>
        <w:t xml:space="preserve"> de CIETAC del Sur de China y la </w:t>
      </w:r>
      <w:proofErr w:type="spellStart"/>
      <w:r w:rsidR="00647931" w:rsidRPr="00647931">
        <w:rPr>
          <w:rFonts w:ascii="Times New Roman" w:eastAsia="仿宋_GB2312" w:hAnsi="Times New Roman" w:cs="Times New Roman"/>
          <w:sz w:val="24"/>
          <w:szCs w:val="21"/>
        </w:rPr>
        <w:t>Subcomisión</w:t>
      </w:r>
      <w:proofErr w:type="spellEnd"/>
      <w:r w:rsidR="00647931" w:rsidRPr="00647931">
        <w:rPr>
          <w:rFonts w:ascii="Times New Roman" w:eastAsia="仿宋_GB2312" w:hAnsi="Times New Roman" w:cs="Times New Roman"/>
          <w:sz w:val="24"/>
          <w:szCs w:val="21"/>
        </w:rPr>
        <w:t xml:space="preserve"> de Shenzhen de CIETAC</w:t>
      </w:r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durante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periodo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que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utilizó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originalmente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sus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nombres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,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será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aceptado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por la Corte de </w:t>
      </w: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Arbitraje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>.</w:t>
      </w:r>
    </w:p>
    <w:p w14:paraId="3006E775" w14:textId="77777777" w:rsidR="00835BD5" w:rsidRPr="008632FE" w:rsidRDefault="0080560D" w:rsidP="008632F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1"/>
        </w:rPr>
      </w:pPr>
      <w:proofErr w:type="spellStart"/>
      <w:r w:rsidRPr="008632FE">
        <w:rPr>
          <w:rFonts w:ascii="Times New Roman" w:eastAsia="仿宋_GB2312" w:hAnsi="Times New Roman" w:cs="Times New Roman"/>
          <w:sz w:val="24"/>
          <w:szCs w:val="21"/>
        </w:rPr>
        <w:t>Artículo</w:t>
      </w:r>
      <w:proofErr w:type="spellEnd"/>
      <w:r w:rsidRPr="008632FE">
        <w:rPr>
          <w:rFonts w:ascii="Times New Roman" w:eastAsia="仿宋_GB2312" w:hAnsi="Times New Roman" w:cs="Times New Roman"/>
          <w:sz w:val="24"/>
          <w:szCs w:val="21"/>
        </w:rPr>
        <w:t xml:space="preserve"> 37. </w:t>
      </w:r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El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presente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reglamento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entrará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en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vigor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el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1 de </w:t>
      </w:r>
      <w:proofErr w:type="spellStart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>octubre</w:t>
      </w:r>
      <w:proofErr w:type="spellEnd"/>
      <w:r w:rsidR="00A24D82" w:rsidRPr="008632FE">
        <w:rPr>
          <w:rFonts w:ascii="Times New Roman" w:eastAsia="仿宋_GB2312" w:hAnsi="Times New Roman" w:cs="Times New Roman"/>
          <w:sz w:val="24"/>
          <w:szCs w:val="21"/>
        </w:rPr>
        <w:t xml:space="preserve"> de 2020.</w:t>
      </w:r>
    </w:p>
    <w:sectPr w:rsidR="00835BD5" w:rsidRPr="008632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A10D" w14:textId="77777777" w:rsidR="00491F4B" w:rsidRDefault="00491F4B">
      <w:r>
        <w:separator/>
      </w:r>
    </w:p>
  </w:endnote>
  <w:endnote w:type="continuationSeparator" w:id="0">
    <w:p w14:paraId="5CB0326D" w14:textId="77777777" w:rsidR="00491F4B" w:rsidRDefault="004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4648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C33ECA" w14:textId="77777777" w:rsidR="00835BD5" w:rsidRDefault="00EB42E3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F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F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C00B" w14:textId="77777777" w:rsidR="00460203" w:rsidRDefault="00491F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5550" w14:textId="77777777" w:rsidR="00491F4B" w:rsidRDefault="00491F4B">
      <w:r>
        <w:separator/>
      </w:r>
    </w:p>
  </w:footnote>
  <w:footnote w:type="continuationSeparator" w:id="0">
    <w:p w14:paraId="78C9310E" w14:textId="77777777" w:rsidR="00491F4B" w:rsidRDefault="0049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9C2"/>
    <w:multiLevelType w:val="hybridMultilevel"/>
    <w:tmpl w:val="9AB6E4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F53483"/>
    <w:multiLevelType w:val="hybridMultilevel"/>
    <w:tmpl w:val="A1688A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C2353E"/>
    <w:multiLevelType w:val="hybridMultilevel"/>
    <w:tmpl w:val="717C0F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B2C8C"/>
    <w:multiLevelType w:val="hybridMultilevel"/>
    <w:tmpl w:val="80B4E1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9B4F6C"/>
    <w:multiLevelType w:val="hybridMultilevel"/>
    <w:tmpl w:val="9CF62B72"/>
    <w:lvl w:ilvl="0" w:tplc="3C4697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CF14327"/>
    <w:multiLevelType w:val="hybridMultilevel"/>
    <w:tmpl w:val="9DD446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7ACC47A0">
      <w:start w:val="1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ED7126"/>
    <w:multiLevelType w:val="hybridMultilevel"/>
    <w:tmpl w:val="C450AFEE"/>
    <w:lvl w:ilvl="0" w:tplc="F04E6308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25E61EF"/>
    <w:multiLevelType w:val="hybridMultilevel"/>
    <w:tmpl w:val="A2A622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057EAC"/>
    <w:multiLevelType w:val="hybridMultilevel"/>
    <w:tmpl w:val="CF7EB5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EC0014"/>
    <w:multiLevelType w:val="hybridMultilevel"/>
    <w:tmpl w:val="4B822A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C27AFB"/>
    <w:multiLevelType w:val="hybridMultilevel"/>
    <w:tmpl w:val="804E9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47991"/>
    <w:multiLevelType w:val="hybridMultilevel"/>
    <w:tmpl w:val="2A2899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9862A9"/>
    <w:multiLevelType w:val="hybridMultilevel"/>
    <w:tmpl w:val="58C856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C059C7"/>
    <w:multiLevelType w:val="hybridMultilevel"/>
    <w:tmpl w:val="DC6A54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986E54"/>
    <w:multiLevelType w:val="hybridMultilevel"/>
    <w:tmpl w:val="BF4662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F83D7F"/>
    <w:multiLevelType w:val="hybridMultilevel"/>
    <w:tmpl w:val="A93CF746"/>
    <w:lvl w:ilvl="0" w:tplc="3B048B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C95232"/>
    <w:multiLevelType w:val="hybridMultilevel"/>
    <w:tmpl w:val="84F092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2DCAEB50">
      <w:start w:val="1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A"/>
    <w:rsid w:val="00003F7E"/>
    <w:rsid w:val="00005F0F"/>
    <w:rsid w:val="000F5E3E"/>
    <w:rsid w:val="001159F3"/>
    <w:rsid w:val="00177EAC"/>
    <w:rsid w:val="001830A2"/>
    <w:rsid w:val="001F1252"/>
    <w:rsid w:val="0025200A"/>
    <w:rsid w:val="0029149F"/>
    <w:rsid w:val="002A66D6"/>
    <w:rsid w:val="002B7082"/>
    <w:rsid w:val="00450E19"/>
    <w:rsid w:val="00491F4B"/>
    <w:rsid w:val="00530AFA"/>
    <w:rsid w:val="00556284"/>
    <w:rsid w:val="005727EE"/>
    <w:rsid w:val="005C6F2E"/>
    <w:rsid w:val="00647931"/>
    <w:rsid w:val="0080560D"/>
    <w:rsid w:val="00835BD5"/>
    <w:rsid w:val="008632FE"/>
    <w:rsid w:val="00865EA8"/>
    <w:rsid w:val="00867F95"/>
    <w:rsid w:val="00885B2A"/>
    <w:rsid w:val="008E0DA1"/>
    <w:rsid w:val="008E5A55"/>
    <w:rsid w:val="0093282F"/>
    <w:rsid w:val="00977278"/>
    <w:rsid w:val="009B501F"/>
    <w:rsid w:val="00A21208"/>
    <w:rsid w:val="00A2487B"/>
    <w:rsid w:val="00A24D82"/>
    <w:rsid w:val="00A53DA7"/>
    <w:rsid w:val="00A66873"/>
    <w:rsid w:val="00AD0578"/>
    <w:rsid w:val="00AD21E0"/>
    <w:rsid w:val="00BF17CC"/>
    <w:rsid w:val="00C52947"/>
    <w:rsid w:val="00C77C09"/>
    <w:rsid w:val="00D12185"/>
    <w:rsid w:val="00D763ED"/>
    <w:rsid w:val="00E92798"/>
    <w:rsid w:val="00EB42E3"/>
    <w:rsid w:val="00F00650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9F89"/>
  <w15:chartTrackingRefBased/>
  <w15:docId w15:val="{4BB61CC2-F9C6-534D-A8BA-A4AEB07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AF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30AFA"/>
    <w:rPr>
      <w:sz w:val="18"/>
      <w:szCs w:val="18"/>
    </w:rPr>
  </w:style>
  <w:style w:type="paragraph" w:styleId="a5">
    <w:name w:val="List Paragraph"/>
    <w:basedOn w:val="a"/>
    <w:uiPriority w:val="34"/>
    <w:qFormat/>
    <w:rsid w:val="001F125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7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7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Andras</dc:creator>
  <cp:keywords/>
  <dc:description/>
  <cp:lastModifiedBy>mingmin jiang</cp:lastModifiedBy>
  <cp:revision>26</cp:revision>
  <cp:lastPrinted>2021-10-01T09:20:00Z</cp:lastPrinted>
  <dcterms:created xsi:type="dcterms:W3CDTF">2021-09-07T19:07:00Z</dcterms:created>
  <dcterms:modified xsi:type="dcterms:W3CDTF">2021-10-01T09:20:00Z</dcterms:modified>
</cp:coreProperties>
</file>