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8" w:lineRule="exact"/>
        <w:ind w:right="120"/>
        <w:jc w:val="both"/>
        <w:rPr>
          <w:sz w:val="20"/>
          <w:szCs w:val="20"/>
        </w:rPr>
      </w:pPr>
      <w:bookmarkStart w:id="2" w:name="_GoBack"/>
      <w:r>
        <w:rPr>
          <w:rFonts w:ascii="宋体" w:hAnsi="宋体" w:eastAsia="宋体" w:cs="宋体"/>
          <w:sz w:val="28"/>
          <w:szCs w:val="28"/>
        </w:rPr>
        <w:t>案例８</w:t>
      </w:r>
      <w:r>
        <w:rPr>
          <w:rFonts w:ascii="Arial" w:hAnsi="Arial" w:eastAsia="Arial" w:cs="Arial"/>
          <w:sz w:val="28"/>
          <w:szCs w:val="28"/>
        </w:rPr>
        <w:t>:</w:t>
      </w:r>
      <w:r>
        <w:rPr>
          <w:rFonts w:ascii="宋体" w:hAnsi="宋体" w:eastAsia="宋体" w:cs="宋体"/>
          <w:sz w:val="28"/>
          <w:szCs w:val="28"/>
        </w:rPr>
        <w:t>投资者</w:t>
      </w:r>
      <w:r>
        <w:rPr>
          <w:rFonts w:ascii="Arial" w:hAnsi="Arial" w:eastAsia="Arial" w:cs="Arial"/>
          <w:sz w:val="28"/>
          <w:szCs w:val="28"/>
        </w:rPr>
        <w:t xml:space="preserve"> A</w:t>
      </w:r>
      <w:r>
        <w:rPr>
          <w:rFonts w:ascii="宋体" w:hAnsi="宋体" w:eastAsia="宋体" w:cs="宋体"/>
          <w:sz w:val="28"/>
          <w:szCs w:val="28"/>
        </w:rPr>
        <w:t>与</w:t>
      </w:r>
      <w:r>
        <w:rPr>
          <w:rFonts w:ascii="Arial" w:hAnsi="Arial" w:eastAsia="Arial" w:cs="Arial"/>
          <w:sz w:val="28"/>
          <w:szCs w:val="28"/>
        </w:rPr>
        <w:t>B</w:t>
      </w:r>
      <w:r>
        <w:rPr>
          <w:rFonts w:ascii="宋体" w:hAnsi="宋体" w:eastAsia="宋体" w:cs="宋体"/>
          <w:sz w:val="28"/>
          <w:szCs w:val="28"/>
        </w:rPr>
        <w:t>基金管理公司分级基金纠纷调解案</w:t>
      </w:r>
    </w:p>
    <w:p>
      <w:pPr>
        <w:spacing w:line="200" w:lineRule="exact"/>
        <w:rPr>
          <w:sz w:val="20"/>
          <w:szCs w:val="20"/>
        </w:rPr>
      </w:pPr>
    </w:p>
    <w:p>
      <w:pPr>
        <w:spacing w:line="374" w:lineRule="exact"/>
        <w:rPr>
          <w:sz w:val="20"/>
          <w:szCs w:val="20"/>
        </w:rPr>
      </w:pPr>
    </w:p>
    <w:p>
      <w:pPr>
        <w:spacing w:line="267" w:lineRule="exact"/>
        <w:ind w:left="480"/>
        <w:rPr>
          <w:sz w:val="20"/>
          <w:szCs w:val="20"/>
        </w:rPr>
      </w:pPr>
      <w:r>
        <w:rPr>
          <w:rFonts w:ascii="宋体" w:hAnsi="宋体" w:eastAsia="宋体" w:cs="宋体"/>
        </w:rPr>
        <w:t>案例综述</w:t>
      </w:r>
      <w:r>
        <w:rPr>
          <w:rFonts w:ascii="Arial" w:hAnsi="Arial" w:eastAsia="Arial" w:cs="Arial"/>
        </w:rPr>
        <w:t xml:space="preserve"> :</w:t>
      </w:r>
    </w:p>
    <w:p>
      <w:pPr>
        <w:spacing w:line="296" w:lineRule="exact"/>
        <w:rPr>
          <w:sz w:val="20"/>
          <w:szCs w:val="20"/>
        </w:rPr>
      </w:pPr>
    </w:p>
    <w:p>
      <w:pPr>
        <w:spacing w:line="414" w:lineRule="exact"/>
        <w:ind w:right="120" w:firstLine="477"/>
        <w:jc w:val="both"/>
        <w:rPr>
          <w:sz w:val="20"/>
          <w:szCs w:val="20"/>
        </w:rPr>
      </w:pPr>
      <w:r>
        <w:rPr>
          <w:rFonts w:ascii="宋体" w:hAnsi="宋体" w:eastAsia="宋体" w:cs="宋体"/>
        </w:rPr>
        <w:t>本案是一起有关分级基金的纠纷</w:t>
      </w:r>
      <w:r>
        <w:rPr>
          <w:rFonts w:ascii="Arial" w:hAnsi="Arial" w:eastAsia="Arial" w:cs="Arial"/>
        </w:rPr>
        <w:t>.</w:t>
      </w:r>
      <w:r>
        <w:rPr>
          <w:rFonts w:ascii="宋体" w:hAnsi="宋体" w:eastAsia="宋体" w:cs="宋体"/>
        </w:rPr>
        <w:t>所涉及的金额虽然较小</w:t>
      </w:r>
      <w:r>
        <w:rPr>
          <w:rFonts w:ascii="Arial" w:hAnsi="Arial" w:eastAsia="Arial" w:cs="Arial"/>
        </w:rPr>
        <w:t>,</w:t>
      </w:r>
      <w:r>
        <w:rPr>
          <w:rFonts w:ascii="宋体" w:hAnsi="宋体" w:eastAsia="宋体" w:cs="宋体"/>
        </w:rPr>
        <w:t>但由于分级基金这一创新投资产品风险相对较高、且投资者年事较高</w:t>
      </w:r>
      <w:r>
        <w:rPr>
          <w:rFonts w:ascii="Arial" w:hAnsi="Arial" w:eastAsia="Arial" w:cs="Arial"/>
        </w:rPr>
        <w:t>,</w:t>
      </w:r>
      <w:r>
        <w:rPr>
          <w:rFonts w:ascii="宋体" w:hAnsi="宋体" w:eastAsia="宋体" w:cs="宋体"/>
        </w:rPr>
        <w:t>如果纠纷双方和调解机构不本着互谅互让、熄纷止讼的原则进行处理</w:t>
      </w:r>
      <w:r>
        <w:rPr>
          <w:rFonts w:ascii="Arial" w:hAnsi="Arial" w:eastAsia="Arial" w:cs="Arial"/>
        </w:rPr>
        <w:t>,</w:t>
      </w:r>
      <w:r>
        <w:rPr>
          <w:rFonts w:ascii="宋体" w:hAnsi="宋体" w:eastAsia="宋体" w:cs="宋体"/>
        </w:rPr>
        <w:t>该纠纷可能会形成长期搁置的局面</w:t>
      </w:r>
      <w:r>
        <w:rPr>
          <w:rFonts w:ascii="Arial" w:hAnsi="Arial" w:eastAsia="Arial" w:cs="Arial"/>
        </w:rPr>
        <w:t>,</w:t>
      </w:r>
      <w:r>
        <w:rPr>
          <w:rFonts w:ascii="宋体" w:hAnsi="宋体" w:eastAsia="宋体" w:cs="宋体"/>
        </w:rPr>
        <w:t>其结果可能是既不利于保护中小投资者的合法权益</w:t>
      </w:r>
      <w:r>
        <w:rPr>
          <w:rFonts w:ascii="Arial" w:hAnsi="Arial" w:eastAsia="Arial" w:cs="Arial"/>
        </w:rPr>
        <w:t>,</w:t>
      </w:r>
      <w:r>
        <w:rPr>
          <w:rFonts w:ascii="宋体" w:hAnsi="宋体" w:eastAsia="宋体" w:cs="宋体"/>
        </w:rPr>
        <w:t>又不利于维护资本市场有序和谐的市场秩序</w:t>
      </w:r>
      <w:r>
        <w:rPr>
          <w:rFonts w:ascii="Arial" w:hAnsi="Arial" w:eastAsia="Arial" w:cs="Arial"/>
        </w:rPr>
        <w:t>.</w:t>
      </w:r>
      <w:r>
        <w:rPr>
          <w:rFonts w:ascii="宋体" w:hAnsi="宋体" w:eastAsia="宋体" w:cs="宋体"/>
        </w:rPr>
        <w:t>本案的顺利调解</w:t>
      </w:r>
      <w:r>
        <w:rPr>
          <w:rFonts w:ascii="Arial" w:hAnsi="Arial" w:eastAsia="Arial" w:cs="Arial"/>
        </w:rPr>
        <w:t>,</w:t>
      </w:r>
      <w:r>
        <w:rPr>
          <w:rFonts w:ascii="宋体" w:hAnsi="宋体" w:eastAsia="宋体" w:cs="宋体"/>
        </w:rPr>
        <w:t>是在分清基本事实和纠纷双方主要责任的基础上</w:t>
      </w:r>
      <w:r>
        <w:rPr>
          <w:rFonts w:ascii="Arial" w:hAnsi="Arial" w:eastAsia="Arial" w:cs="Arial"/>
        </w:rPr>
        <w:t>,</w:t>
      </w:r>
      <w:r>
        <w:rPr>
          <w:rFonts w:ascii="宋体" w:hAnsi="宋体" w:eastAsia="宋体" w:cs="宋体"/>
        </w:rPr>
        <w:t>耐心细致地给投资者摆事实、讲道理</w:t>
      </w:r>
      <w:r>
        <w:rPr>
          <w:rFonts w:ascii="Arial" w:hAnsi="Arial" w:eastAsia="Arial" w:cs="Arial"/>
        </w:rPr>
        <w:t>,</w:t>
      </w:r>
      <w:r>
        <w:rPr>
          <w:rFonts w:ascii="宋体" w:hAnsi="宋体" w:eastAsia="宋体" w:cs="宋体"/>
        </w:rPr>
        <w:t>进行投资者教育</w:t>
      </w:r>
      <w:r>
        <w:rPr>
          <w:rFonts w:ascii="Arial" w:hAnsi="Arial" w:eastAsia="Arial" w:cs="Arial"/>
        </w:rPr>
        <w:t>,</w:t>
      </w:r>
      <w:r>
        <w:rPr>
          <w:rFonts w:ascii="宋体" w:hAnsi="宋体" w:eastAsia="宋体" w:cs="宋体"/>
        </w:rPr>
        <w:t>并折中找出双方都接受的解决方案</w:t>
      </w:r>
      <w:r>
        <w:rPr>
          <w:rFonts w:ascii="Arial" w:hAnsi="Arial" w:eastAsia="Arial" w:cs="Arial"/>
        </w:rPr>
        <w:t>.</w:t>
      </w:r>
    </w:p>
    <w:p>
      <w:pPr>
        <w:spacing w:line="286" w:lineRule="exact"/>
        <w:rPr>
          <w:sz w:val="20"/>
          <w:szCs w:val="20"/>
        </w:rPr>
      </w:pPr>
    </w:p>
    <w:p>
      <w:pPr>
        <w:spacing w:line="251" w:lineRule="exact"/>
        <w:ind w:left="480"/>
        <w:rPr>
          <w:sz w:val="20"/>
          <w:szCs w:val="20"/>
        </w:rPr>
      </w:pPr>
      <w:r>
        <w:rPr>
          <w:rFonts w:ascii="宋体" w:hAnsi="宋体" w:eastAsia="宋体" w:cs="宋体"/>
        </w:rPr>
        <w:t>一、案情回顾</w:t>
      </w:r>
    </w:p>
    <w:p>
      <w:pPr>
        <w:spacing w:line="312" w:lineRule="exact"/>
        <w:rPr>
          <w:sz w:val="20"/>
          <w:szCs w:val="20"/>
        </w:rPr>
      </w:pPr>
    </w:p>
    <w:p>
      <w:pPr>
        <w:spacing w:line="434" w:lineRule="exact"/>
        <w:ind w:right="120" w:firstLine="423"/>
        <w:jc w:val="both"/>
        <w:rPr>
          <w:sz w:val="20"/>
          <w:szCs w:val="20"/>
        </w:rPr>
      </w:pPr>
      <w:r>
        <w:rPr>
          <w:rFonts w:ascii="宋体" w:hAnsi="宋体" w:eastAsia="宋体" w:cs="宋体"/>
        </w:rPr>
        <w:t>２０１５年６至７月</w:t>
      </w:r>
      <w:r>
        <w:rPr>
          <w:rFonts w:ascii="Arial" w:hAnsi="Arial" w:eastAsia="Arial" w:cs="Arial"/>
        </w:rPr>
        <w:t>,</w:t>
      </w:r>
      <w:r>
        <w:rPr>
          <w:rFonts w:ascii="宋体" w:hAnsi="宋体" w:eastAsia="宋体" w:cs="宋体"/>
        </w:rPr>
        <w:t>由于股市剧烈波动</w:t>
      </w:r>
      <w:r>
        <w:rPr>
          <w:rFonts w:ascii="Arial" w:hAnsi="Arial" w:eastAsia="Arial" w:cs="Arial"/>
        </w:rPr>
        <w:t>,B</w:t>
      </w:r>
      <w:r>
        <w:rPr>
          <w:rFonts w:ascii="宋体" w:hAnsi="宋体" w:eastAsia="宋体" w:cs="宋体"/>
        </w:rPr>
        <w:t>基金管理公司</w:t>
      </w:r>
      <w:r>
        <w:rPr>
          <w:rFonts w:ascii="Arial" w:hAnsi="Arial" w:eastAsia="Arial" w:cs="Arial"/>
        </w:rPr>
        <w:t>(</w:t>
      </w:r>
      <w:r>
        <w:rPr>
          <w:rFonts w:ascii="宋体" w:hAnsi="宋体" w:eastAsia="宋体" w:cs="宋体"/>
        </w:rPr>
        <w:t>下称</w:t>
      </w:r>
      <w:r>
        <w:rPr>
          <w:rFonts w:ascii="Arial" w:hAnsi="Arial" w:eastAsia="Arial" w:cs="Arial"/>
        </w:rPr>
        <w:t xml:space="preserve"> “</w:t>
      </w:r>
      <w:r>
        <w:rPr>
          <w:rFonts w:ascii="宋体" w:hAnsi="宋体" w:eastAsia="宋体" w:cs="宋体"/>
        </w:rPr>
        <w:t>基金公司</w:t>
      </w:r>
      <w:r>
        <w:rPr>
          <w:rFonts w:ascii="Arial" w:hAnsi="Arial" w:eastAsia="Arial" w:cs="Arial"/>
        </w:rPr>
        <w:t>”)</w:t>
      </w:r>
      <w:r>
        <w:rPr>
          <w:rFonts w:ascii="宋体" w:hAnsi="宋体" w:eastAsia="宋体" w:cs="宋体"/>
        </w:rPr>
        <w:t>某分级基金产品于２０１５年７月２日触发下折</w:t>
      </w:r>
      <w:r>
        <w:rPr>
          <w:rFonts w:ascii="Arial" w:hAnsi="Arial" w:eastAsia="Arial" w:cs="Arial"/>
        </w:rPr>
        <w:t>,</w:t>
      </w:r>
      <w:r>
        <w:rPr>
          <w:rFonts w:ascii="宋体" w:hAnsi="宋体" w:eastAsia="宋体" w:cs="宋体"/>
        </w:rPr>
        <w:t>并以２０１５年７月３日为基准日办理不定期份额折算业务</w:t>
      </w:r>
      <w:r>
        <w:rPr>
          <w:rFonts w:ascii="Arial" w:hAnsi="Arial" w:eastAsia="Arial" w:cs="Arial"/>
        </w:rPr>
        <w:t>.</w:t>
      </w:r>
    </w:p>
    <w:p>
      <w:pPr>
        <w:spacing w:line="214" w:lineRule="exact"/>
        <w:rPr>
          <w:sz w:val="20"/>
          <w:szCs w:val="20"/>
        </w:rPr>
      </w:pPr>
    </w:p>
    <w:p>
      <w:pPr>
        <w:spacing w:line="267" w:lineRule="exact"/>
        <w:ind w:left="480"/>
        <w:rPr>
          <w:sz w:val="20"/>
          <w:szCs w:val="20"/>
        </w:rPr>
      </w:pPr>
      <w:r>
        <w:rPr>
          <w:rFonts w:ascii="宋体" w:hAnsi="宋体" w:eastAsia="宋体" w:cs="宋体"/>
        </w:rPr>
        <w:t>在分级基金下折前</w:t>
      </w:r>
      <w:r>
        <w:rPr>
          <w:rFonts w:ascii="Arial" w:hAnsi="Arial" w:eastAsia="Arial" w:cs="Arial"/>
        </w:rPr>
        <w:t>,</w:t>
      </w:r>
      <w:r>
        <w:rPr>
          <w:rFonts w:ascii="宋体" w:hAnsi="宋体" w:eastAsia="宋体" w:cs="宋体"/>
        </w:rPr>
        <w:t>投资者</w:t>
      </w:r>
      <w:r>
        <w:rPr>
          <w:rFonts w:ascii="Arial" w:hAnsi="Arial" w:eastAsia="Arial" w:cs="Arial"/>
        </w:rPr>
        <w:t xml:space="preserve"> A</w:t>
      </w:r>
      <w:r>
        <w:rPr>
          <w:rFonts w:ascii="宋体" w:hAnsi="宋体" w:eastAsia="宋体" w:cs="宋体"/>
        </w:rPr>
        <w:t>买入该分级基金１７０００份</w:t>
      </w:r>
      <w:r>
        <w:rPr>
          <w:rFonts w:ascii="Arial" w:hAnsi="Arial" w:eastAsia="Arial" w:cs="Arial"/>
        </w:rPr>
        <w:t>,</w:t>
      </w:r>
    </w:p>
    <w:p>
      <w:pPr>
        <w:spacing w:line="20" w:lineRule="exact"/>
        <w:rPr>
          <w:sz w:val="20"/>
          <w:szCs w:val="20"/>
        </w:rPr>
      </w:pPr>
      <w:r>
        <w:rPr>
          <w:sz w:val="20"/>
          <w:szCs w:val="20"/>
        </w:rPr>
        <mc:AlternateContent>
          <mc:Choice Requires="wps">
            <w:drawing>
              <wp:anchor distT="0" distB="0" distL="114300" distR="114300" simplePos="0" relativeHeight="251661312" behindDoc="1" locked="0" layoutInCell="0" allowOverlap="1">
                <wp:simplePos x="0" y="0"/>
                <wp:positionH relativeFrom="column">
                  <wp:posOffset>-4445</wp:posOffset>
                </wp:positionH>
                <wp:positionV relativeFrom="paragraph">
                  <wp:posOffset>197485</wp:posOffset>
                </wp:positionV>
                <wp:extent cx="1033145" cy="0"/>
                <wp:effectExtent l="0" t="0" r="0" b="0"/>
                <wp:wrapNone/>
                <wp:docPr id="9" name="Shape 9"/>
                <wp:cNvGraphicFramePr/>
                <a:graphic xmlns:a="http://schemas.openxmlformats.org/drawingml/2006/main">
                  <a:graphicData uri="http://schemas.microsoft.com/office/word/2010/wordprocessingShape">
                    <wps:wsp>
                      <wps:cNvCnPr/>
                      <wps:spPr>
                        <a:xfrm>
                          <a:off x="0" y="0"/>
                          <a:ext cx="1033145" cy="4763"/>
                        </a:xfrm>
                        <a:prstGeom prst="line">
                          <a:avLst/>
                        </a:prstGeom>
                        <a:solidFill>
                          <a:srgbClr val="FFFFFF"/>
                        </a:solidFill>
                        <a:ln w="4152">
                          <a:solidFill>
                            <a:srgbClr val="000000"/>
                          </a:solidFill>
                          <a:miter lim="800000"/>
                        </a:ln>
                      </wps:spPr>
                      <wps:bodyPr/>
                    </wps:wsp>
                  </a:graphicData>
                </a:graphic>
              </wp:anchor>
            </w:drawing>
          </mc:Choice>
          <mc:Fallback>
            <w:pict>
              <v:line id="Shape 9" o:spid="_x0000_s1026" o:spt="20" style="position:absolute;left:0pt;margin-left:-0.35pt;margin-top:15.55pt;height:0pt;width:81.35pt;z-index:-251655168;mso-width-relative:page;mso-height-relative:page;" fillcolor="#FFFFFF" filled="t" stroked="t" coordsize="21600,21600" o:allowincell="f" o:gfxdata="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&#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yywoB1gAAAAcBAAAPAAAAAAAAAAEAIAAAACIAAABk&#10;cnMvZG93bnJldi54bWxQSwECFAAUAAAACACHTuJASxpjzJYBAABLAwAADgAAAAAAAAABACAAAAAl&#10;AQAAZHJzL2Uyb0RvYy54bWxQSwUGAAAAAAYABgBZAQAALQUAAAAA&#10;">
                <v:fill on="t" focussize="0,0"/>
                <v:stroke weight="0.326929133858268pt" color="#000000" miterlimit="8" joinstyle="miter"/>
                <v:imagedata o:title=""/>
                <o:lock v:ext="edit" aspectratio="f"/>
              </v:line>
            </w:pict>
          </mc:Fallback>
        </mc:AlternateContent>
      </w:r>
    </w:p>
    <w:p>
      <w:pPr>
        <w:spacing w:line="200" w:lineRule="exact"/>
        <w:rPr>
          <w:sz w:val="20"/>
          <w:szCs w:val="20"/>
        </w:rPr>
      </w:pPr>
    </w:p>
    <w:p>
      <w:pPr>
        <w:spacing w:line="255" w:lineRule="exact"/>
        <w:rPr>
          <w:sz w:val="20"/>
          <w:szCs w:val="20"/>
        </w:rPr>
      </w:pPr>
    </w:p>
    <w:p>
      <w:pPr>
        <w:spacing w:line="158" w:lineRule="exact"/>
        <w:ind w:left="280"/>
        <w:rPr>
          <w:sz w:val="20"/>
          <w:szCs w:val="20"/>
        </w:rPr>
      </w:pPr>
      <w:r>
        <w:rPr>
          <w:rFonts w:ascii="宋体" w:hAnsi="宋体" w:eastAsia="宋体" w:cs="宋体"/>
          <w:sz w:val="13"/>
          <w:szCs w:val="13"/>
        </w:rPr>
        <w:t>本案调解员</w:t>
      </w:r>
      <w:r>
        <w:rPr>
          <w:rFonts w:ascii="Arial" w:hAnsi="Arial" w:eastAsia="Arial" w:cs="Arial"/>
          <w:sz w:val="13"/>
          <w:szCs w:val="13"/>
        </w:rPr>
        <w:t>:</w:t>
      </w:r>
      <w:r>
        <w:rPr>
          <w:rFonts w:ascii="宋体" w:hAnsi="宋体" w:eastAsia="宋体" w:cs="宋体"/>
          <w:sz w:val="13"/>
          <w:szCs w:val="13"/>
        </w:rPr>
        <w:t>涂卫东先生</w:t>
      </w:r>
      <w:r>
        <w:rPr>
          <w:rFonts w:ascii="Arial" w:hAnsi="Arial" w:eastAsia="Arial" w:cs="Arial"/>
          <w:sz w:val="13"/>
          <w:szCs w:val="13"/>
        </w:rPr>
        <w:t xml:space="preserve"> (</w:t>
      </w:r>
      <w:r>
        <w:rPr>
          <w:rFonts w:ascii="宋体" w:hAnsi="宋体" w:eastAsia="宋体" w:cs="宋体"/>
          <w:sz w:val="13"/>
          <w:szCs w:val="13"/>
        </w:rPr>
        <w:t>融通基金管理有限公司督察长</w:t>
      </w:r>
      <w:r>
        <w:rPr>
          <w:rFonts w:ascii="Arial" w:hAnsi="Arial" w:eastAsia="Arial" w:cs="Arial"/>
          <w:sz w:val="13"/>
          <w:szCs w:val="13"/>
        </w:rPr>
        <w:t>)</w:t>
      </w:r>
    </w:p>
    <w:p>
      <w:pPr>
        <w:sectPr>
          <w:pgSz w:w="8500" w:h="11339"/>
          <w:pgMar w:top="1277" w:right="884" w:bottom="517" w:left="1000" w:header="0" w:footer="0" w:gutter="0"/>
          <w:cols w:equalWidth="0" w:num="1">
            <w:col w:w="6620"/>
          </w:cols>
        </w:sectPr>
      </w:pPr>
    </w:p>
    <w:p>
      <w:pPr>
        <w:spacing w:line="150" w:lineRule="exact"/>
        <w:rPr>
          <w:sz w:val="20"/>
          <w:szCs w:val="20"/>
        </w:rPr>
      </w:pPr>
    </w:p>
    <w:p>
      <w:pPr>
        <w:spacing w:line="231" w:lineRule="exact"/>
        <w:ind w:left="100"/>
        <w:rPr>
          <w:sz w:val="20"/>
          <w:szCs w:val="20"/>
        </w:rPr>
      </w:pPr>
      <w:r>
        <w:rPr>
          <w:rFonts w:ascii="Arial" w:hAnsi="Arial" w:eastAsia="Arial" w:cs="Arial"/>
          <w:sz w:val="19"/>
          <w:szCs w:val="19"/>
        </w:rPr>
        <w:t>—</w:t>
      </w:r>
      <w:r>
        <w:rPr>
          <w:rFonts w:ascii="宋体" w:hAnsi="宋体" w:eastAsia="宋体" w:cs="宋体"/>
          <w:sz w:val="19"/>
          <w:szCs w:val="19"/>
        </w:rPr>
        <w:t>３２</w:t>
      </w:r>
      <w:r>
        <w:rPr>
          <w:rFonts w:ascii="Arial" w:hAnsi="Arial" w:eastAsia="Arial" w:cs="Arial"/>
          <w:sz w:val="19"/>
          <w:szCs w:val="19"/>
        </w:rPr>
        <w:t>—</w:t>
      </w:r>
    </w:p>
    <w:p>
      <w:pPr>
        <w:sectPr>
          <w:type w:val="continuous"/>
          <w:pgSz w:w="8500" w:h="11339"/>
          <w:pgMar w:top="1277" w:right="884" w:bottom="517" w:left="1000" w:header="0" w:footer="0" w:gutter="0"/>
          <w:cols w:equalWidth="0" w:num="1">
            <w:col w:w="6620"/>
          </w:cols>
        </w:sectPr>
      </w:pPr>
    </w:p>
    <w:p>
      <w:pPr>
        <w:spacing w:line="437" w:lineRule="exact"/>
        <w:ind w:right="120"/>
        <w:jc w:val="both"/>
        <w:rPr>
          <w:sz w:val="20"/>
          <w:szCs w:val="20"/>
        </w:rPr>
      </w:pPr>
      <w:bookmarkStart w:id="0" w:name="page35"/>
      <w:bookmarkEnd w:id="0"/>
      <w:r>
        <w:rPr>
          <w:rFonts w:ascii="宋体" w:hAnsi="宋体" w:eastAsia="宋体" w:cs="宋体"/>
        </w:rPr>
        <w:t>并于下折后的７月７日卖出经折算后的该基金３０４１份</w:t>
      </w:r>
      <w:r>
        <w:rPr>
          <w:rFonts w:ascii="Arial" w:hAnsi="Arial" w:eastAsia="Arial" w:cs="Arial"/>
        </w:rPr>
        <w:t>,</w:t>
      </w:r>
      <w:r>
        <w:rPr>
          <w:rFonts w:ascii="宋体" w:hAnsi="宋体" w:eastAsia="宋体" w:cs="宋体"/>
        </w:rPr>
        <w:t>由此造成投资额约８５％的亏损</w:t>
      </w:r>
      <w:r>
        <w:rPr>
          <w:rFonts w:ascii="Arial" w:hAnsi="Arial" w:eastAsia="Arial" w:cs="Arial"/>
        </w:rPr>
        <w:t>.</w:t>
      </w:r>
      <w:r>
        <w:rPr>
          <w:rFonts w:ascii="宋体" w:hAnsi="宋体" w:eastAsia="宋体" w:cs="宋体"/>
        </w:rPr>
        <w:t>投资者</w:t>
      </w:r>
      <w:r>
        <w:rPr>
          <w:rFonts w:ascii="Arial" w:hAnsi="Arial" w:eastAsia="Arial" w:cs="Arial"/>
        </w:rPr>
        <w:t xml:space="preserve"> A</w:t>
      </w:r>
      <w:r>
        <w:rPr>
          <w:rFonts w:ascii="宋体" w:hAnsi="宋体" w:eastAsia="宋体" w:cs="宋体"/>
        </w:rPr>
        <w:t>对亏损不满引发投诉</w:t>
      </w:r>
      <w:r>
        <w:rPr>
          <w:rFonts w:ascii="Arial" w:hAnsi="Arial" w:eastAsia="Arial" w:cs="Arial"/>
        </w:rPr>
        <w:t>,</w:t>
      </w:r>
      <w:r>
        <w:rPr>
          <w:rFonts w:ascii="宋体" w:hAnsi="宋体" w:eastAsia="宋体" w:cs="宋体"/>
        </w:rPr>
        <w:t>并于２０１５年７月１３日向调解中心提交了调解申请</w:t>
      </w:r>
      <w:r>
        <w:rPr>
          <w:rFonts w:ascii="Arial" w:hAnsi="Arial" w:eastAsia="Arial" w:cs="Arial"/>
        </w:rPr>
        <w:t>.</w:t>
      </w:r>
    </w:p>
    <w:p>
      <w:pPr>
        <w:spacing w:line="2" w:lineRule="exact"/>
        <w:rPr>
          <w:sz w:val="20"/>
          <w:szCs w:val="20"/>
        </w:rPr>
      </w:pPr>
    </w:p>
    <w:p>
      <w:pPr>
        <w:spacing w:line="251" w:lineRule="exact"/>
        <w:ind w:left="480"/>
        <w:rPr>
          <w:sz w:val="20"/>
          <w:szCs w:val="20"/>
        </w:rPr>
      </w:pPr>
      <w:r>
        <w:rPr>
          <w:rFonts w:ascii="宋体" w:hAnsi="宋体" w:eastAsia="宋体" w:cs="宋体"/>
        </w:rPr>
        <w:t>二、调解过程和结果</w:t>
      </w:r>
    </w:p>
    <w:p>
      <w:pPr>
        <w:spacing w:line="312" w:lineRule="exact"/>
        <w:rPr>
          <w:sz w:val="20"/>
          <w:szCs w:val="20"/>
        </w:rPr>
      </w:pPr>
    </w:p>
    <w:p>
      <w:pPr>
        <w:spacing w:line="388" w:lineRule="exact"/>
        <w:ind w:firstLine="477"/>
        <w:jc w:val="both"/>
        <w:rPr>
          <w:sz w:val="20"/>
          <w:szCs w:val="20"/>
        </w:rPr>
      </w:pPr>
      <w:r>
        <w:rPr>
          <w:rFonts w:ascii="宋体" w:hAnsi="宋体" w:eastAsia="宋体" w:cs="宋体"/>
        </w:rPr>
        <w:t>调解中心经征得基金公司同意受理本案</w:t>
      </w:r>
      <w:r>
        <w:rPr>
          <w:rFonts w:ascii="Arial" w:hAnsi="Arial" w:eastAsia="Arial" w:cs="Arial"/>
        </w:rPr>
        <w:t>,</w:t>
      </w:r>
      <w:r>
        <w:rPr>
          <w:rFonts w:ascii="宋体" w:hAnsi="宋体" w:eastAsia="宋体" w:cs="宋体"/>
        </w:rPr>
        <w:t>并按照</w:t>
      </w:r>
      <w:r>
        <w:rPr>
          <w:rFonts w:ascii="Arial" w:hAnsi="Arial" w:eastAsia="Arial" w:cs="Arial"/>
        </w:rPr>
        <w:t xml:space="preserve"> «</w:t>
      </w:r>
      <w:r>
        <w:rPr>
          <w:rFonts w:ascii="宋体" w:hAnsi="宋体" w:eastAsia="宋体" w:cs="宋体"/>
        </w:rPr>
        <w:t>调解规则</w:t>
      </w:r>
      <w:r>
        <w:rPr>
          <w:rFonts w:ascii="Arial" w:hAnsi="Arial" w:eastAsia="Arial" w:cs="Arial"/>
        </w:rPr>
        <w:t>»</w:t>
      </w:r>
      <w:r>
        <w:rPr>
          <w:rFonts w:ascii="宋体" w:hAnsi="宋体" w:eastAsia="宋体" w:cs="宋体"/>
        </w:rPr>
        <w:t>第十条的规定</w:t>
      </w:r>
      <w:r>
        <w:rPr>
          <w:rFonts w:ascii="Arial" w:hAnsi="Arial" w:eastAsia="Arial" w:cs="Arial"/>
        </w:rPr>
        <w:t>,</w:t>
      </w:r>
      <w:r>
        <w:rPr>
          <w:rFonts w:ascii="宋体" w:hAnsi="宋体" w:eastAsia="宋体" w:cs="宋体"/>
        </w:rPr>
        <w:t>为双方指定了一名在基金行业有十余年从业经历、对基金产品纠纷的处理经验丰富的调解员调解本案</w:t>
      </w:r>
      <w:r>
        <w:rPr>
          <w:rFonts w:ascii="Arial" w:hAnsi="Arial" w:eastAsia="Arial" w:cs="Arial"/>
        </w:rPr>
        <w:t>.</w:t>
      </w:r>
      <w:r>
        <w:rPr>
          <w:rFonts w:ascii="宋体" w:hAnsi="宋体" w:eastAsia="宋体" w:cs="宋体"/>
        </w:rPr>
        <w:t>经过和双方当事人的前期沟通</w:t>
      </w:r>
      <w:r>
        <w:rPr>
          <w:rFonts w:ascii="Arial" w:hAnsi="Arial" w:eastAsia="Arial" w:cs="Arial"/>
        </w:rPr>
        <w:t>,</w:t>
      </w:r>
      <w:r>
        <w:rPr>
          <w:rFonts w:ascii="宋体" w:hAnsi="宋体" w:eastAsia="宋体" w:cs="宋体"/>
        </w:rPr>
        <w:t>调解员了解到各方的观点和立场</w:t>
      </w:r>
      <w:r>
        <w:rPr>
          <w:rFonts w:ascii="Arial" w:hAnsi="Arial" w:eastAsia="Arial" w:cs="Arial"/>
        </w:rPr>
        <w:t>:</w:t>
      </w:r>
      <w:r>
        <w:rPr>
          <w:rFonts w:ascii="宋体" w:hAnsi="宋体" w:eastAsia="宋体" w:cs="宋体"/>
        </w:rPr>
        <w:t>投资者认为</w:t>
      </w:r>
      <w:r>
        <w:rPr>
          <w:rFonts w:ascii="Arial" w:hAnsi="Arial" w:eastAsia="Arial" w:cs="Arial"/>
        </w:rPr>
        <w:t>,</w:t>
      </w:r>
      <w:r>
        <w:rPr>
          <w:rFonts w:ascii="宋体" w:hAnsi="宋体" w:eastAsia="宋体" w:cs="宋体"/>
        </w:rPr>
        <w:t>其在行情软件上没有看到醒目的折算风险提示</w:t>
      </w:r>
      <w:r>
        <w:rPr>
          <w:rFonts w:ascii="Arial" w:hAnsi="Arial" w:eastAsia="Arial" w:cs="Arial"/>
        </w:rPr>
        <w:t>,</w:t>
      </w:r>
      <w:r>
        <w:rPr>
          <w:rFonts w:ascii="宋体" w:hAnsi="宋体" w:eastAsia="宋体" w:cs="宋体"/>
        </w:rPr>
        <w:t>基金公司信息披露存在问题</w:t>
      </w:r>
      <w:r>
        <w:rPr>
          <w:rFonts w:ascii="Arial" w:hAnsi="Arial" w:eastAsia="Arial" w:cs="Arial"/>
        </w:rPr>
        <w:t>,</w:t>
      </w:r>
      <w:r>
        <w:rPr>
          <w:rFonts w:ascii="宋体" w:hAnsi="宋体" w:eastAsia="宋体" w:cs="宋体"/>
        </w:rPr>
        <w:t>希望基金公司能把份额调回去并给予赔偿</w:t>
      </w:r>
      <w:r>
        <w:rPr>
          <w:rFonts w:ascii="Arial" w:hAnsi="Arial" w:eastAsia="Arial" w:cs="Arial"/>
        </w:rPr>
        <w:t>;</w:t>
      </w:r>
      <w:r>
        <w:rPr>
          <w:rFonts w:ascii="宋体" w:hAnsi="宋体" w:eastAsia="宋体" w:cs="宋体"/>
        </w:rPr>
        <w:t>而基金公司认为</w:t>
      </w:r>
      <w:r>
        <w:rPr>
          <w:rFonts w:ascii="Arial" w:hAnsi="Arial" w:eastAsia="Arial" w:cs="Arial"/>
        </w:rPr>
        <w:t>,</w:t>
      </w:r>
      <w:r>
        <w:rPr>
          <w:rFonts w:ascii="宋体" w:hAnsi="宋体" w:eastAsia="宋体" w:cs="宋体"/>
        </w:rPr>
        <w:t>其严格按照基金合同的信息披露要求发布了相关的基金折算公告和相关风险提示</w:t>
      </w:r>
      <w:r>
        <w:rPr>
          <w:rFonts w:ascii="Arial" w:hAnsi="Arial" w:eastAsia="Arial" w:cs="Arial"/>
        </w:rPr>
        <w:t>,</w:t>
      </w:r>
      <w:r>
        <w:rPr>
          <w:rFonts w:ascii="宋体" w:hAnsi="宋体" w:eastAsia="宋体" w:cs="宋体"/>
        </w:rPr>
        <w:t>但行情软件公司是否转载其无法干预</w:t>
      </w:r>
      <w:r>
        <w:rPr>
          <w:rFonts w:ascii="Arial" w:hAnsi="Arial" w:eastAsia="Arial" w:cs="Arial"/>
        </w:rPr>
        <w:t>,</w:t>
      </w:r>
      <w:r>
        <w:rPr>
          <w:rFonts w:ascii="宋体" w:hAnsi="宋体" w:eastAsia="宋体" w:cs="宋体"/>
        </w:rPr>
        <w:t>希望投资者多通过基金公司网站了解相关基金公告及产品信息</w:t>
      </w:r>
      <w:r>
        <w:rPr>
          <w:rFonts w:ascii="Arial" w:hAnsi="Arial" w:eastAsia="Arial" w:cs="Arial"/>
        </w:rPr>
        <w:t>,</w:t>
      </w:r>
      <w:r>
        <w:rPr>
          <w:rFonts w:ascii="宋体" w:hAnsi="宋体" w:eastAsia="宋体" w:cs="宋体"/>
        </w:rPr>
        <w:t>在了解充分后评估是否符合自己的风险承受能力再决定是否配置</w:t>
      </w:r>
      <w:r>
        <w:rPr>
          <w:rFonts w:ascii="Arial" w:hAnsi="Arial" w:eastAsia="Arial" w:cs="Arial"/>
        </w:rPr>
        <w:t>.</w:t>
      </w:r>
    </w:p>
    <w:p>
      <w:pPr>
        <w:spacing w:line="257" w:lineRule="exact"/>
        <w:rPr>
          <w:sz w:val="20"/>
          <w:szCs w:val="20"/>
        </w:rPr>
      </w:pPr>
    </w:p>
    <w:p>
      <w:pPr>
        <w:spacing w:line="387" w:lineRule="exact"/>
        <w:ind w:firstLine="477"/>
        <w:jc w:val="both"/>
        <w:rPr>
          <w:sz w:val="20"/>
          <w:szCs w:val="20"/>
        </w:rPr>
      </w:pPr>
      <w:r>
        <w:rPr>
          <w:rFonts w:ascii="宋体" w:hAnsi="宋体" w:eastAsia="宋体" w:cs="宋体"/>
        </w:rPr>
        <w:t>在调解过程中</w:t>
      </w:r>
      <w:r>
        <w:rPr>
          <w:rFonts w:ascii="Arial" w:hAnsi="Arial" w:eastAsia="Arial" w:cs="Arial"/>
        </w:rPr>
        <w:t>,</w:t>
      </w:r>
      <w:r>
        <w:rPr>
          <w:rFonts w:ascii="宋体" w:hAnsi="宋体" w:eastAsia="宋体" w:cs="宋体"/>
        </w:rPr>
        <w:t>一方面</w:t>
      </w:r>
      <w:r>
        <w:rPr>
          <w:rFonts w:ascii="Arial" w:hAnsi="Arial" w:eastAsia="Arial" w:cs="Arial"/>
        </w:rPr>
        <w:t>,</w:t>
      </w:r>
      <w:r>
        <w:rPr>
          <w:rFonts w:ascii="宋体" w:hAnsi="宋体" w:eastAsia="宋体" w:cs="宋体"/>
        </w:rPr>
        <w:t>由于投资者对基金产品交易规则并不熟悉</w:t>
      </w:r>
      <w:r>
        <w:rPr>
          <w:rFonts w:ascii="Arial" w:hAnsi="Arial" w:eastAsia="Arial" w:cs="Arial"/>
        </w:rPr>
        <w:t>,</w:t>
      </w:r>
      <w:r>
        <w:rPr>
          <w:rFonts w:ascii="宋体" w:hAnsi="宋体" w:eastAsia="宋体" w:cs="宋体"/>
        </w:rPr>
        <w:t>调解员为其进行了投资者教育</w:t>
      </w:r>
      <w:r>
        <w:rPr>
          <w:rFonts w:ascii="Arial" w:hAnsi="Arial" w:eastAsia="Arial" w:cs="Arial"/>
        </w:rPr>
        <w:t>,</w:t>
      </w:r>
      <w:r>
        <w:rPr>
          <w:rFonts w:ascii="宋体" w:hAnsi="宋体" w:eastAsia="宋体" w:cs="宋体"/>
        </w:rPr>
        <w:t>帮助其树立正确的投资观念</w:t>
      </w:r>
      <w:r>
        <w:rPr>
          <w:rFonts w:ascii="Arial" w:hAnsi="Arial" w:eastAsia="Arial" w:cs="Arial"/>
        </w:rPr>
        <w:t>.</w:t>
      </w:r>
      <w:r>
        <w:rPr>
          <w:rFonts w:ascii="宋体" w:hAnsi="宋体" w:eastAsia="宋体" w:cs="宋体"/>
        </w:rPr>
        <w:t>另一方面</w:t>
      </w:r>
      <w:r>
        <w:rPr>
          <w:rFonts w:ascii="Arial" w:hAnsi="Arial" w:eastAsia="Arial" w:cs="Arial"/>
        </w:rPr>
        <w:t>,</w:t>
      </w:r>
      <w:r>
        <w:rPr>
          <w:rFonts w:ascii="宋体" w:hAnsi="宋体" w:eastAsia="宋体" w:cs="宋体"/>
        </w:rPr>
        <w:t>由于基金公司认为自己在信息披露、基金折算等方面没有过错</w:t>
      </w:r>
      <w:r>
        <w:rPr>
          <w:rFonts w:ascii="Arial" w:hAnsi="Arial" w:eastAsia="Arial" w:cs="Arial"/>
        </w:rPr>
        <w:t>,</w:t>
      </w:r>
      <w:r>
        <w:rPr>
          <w:rFonts w:ascii="宋体" w:hAnsi="宋体" w:eastAsia="宋体" w:cs="宋体"/>
        </w:rPr>
        <w:t>一直不同意投资者提出的和解方案</w:t>
      </w:r>
      <w:r>
        <w:rPr>
          <w:rFonts w:ascii="Arial" w:hAnsi="Arial" w:eastAsia="Arial" w:cs="Arial"/>
        </w:rPr>
        <w:t>,</w:t>
      </w:r>
      <w:r>
        <w:rPr>
          <w:rFonts w:ascii="宋体" w:hAnsi="宋体" w:eastAsia="宋体" w:cs="宋体"/>
        </w:rPr>
        <w:t>调解员希望基金公司能够体谅投资者为此事多次拨打长途电话所耗费的时间、精力和成本</w:t>
      </w:r>
      <w:r>
        <w:rPr>
          <w:rFonts w:ascii="Arial" w:hAnsi="Arial" w:eastAsia="Arial" w:cs="Arial"/>
        </w:rPr>
        <w:t>,</w:t>
      </w:r>
      <w:r>
        <w:rPr>
          <w:rFonts w:ascii="宋体" w:hAnsi="宋体" w:eastAsia="宋体" w:cs="宋体"/>
        </w:rPr>
        <w:t>建议从客户关系维护角度出发</w:t>
      </w:r>
      <w:r>
        <w:rPr>
          <w:rFonts w:ascii="Arial" w:hAnsi="Arial" w:eastAsia="Arial" w:cs="Arial"/>
        </w:rPr>
        <w:t>,</w:t>
      </w:r>
      <w:r>
        <w:rPr>
          <w:rFonts w:ascii="宋体" w:hAnsi="宋体" w:eastAsia="宋体" w:cs="宋体"/>
        </w:rPr>
        <w:t>给予该投资者适当的补偿</w:t>
      </w:r>
      <w:r>
        <w:rPr>
          <w:rFonts w:ascii="Arial" w:hAnsi="Arial" w:eastAsia="Arial" w:cs="Arial"/>
        </w:rPr>
        <w:t>.</w:t>
      </w:r>
      <w:r>
        <w:rPr>
          <w:rFonts w:ascii="宋体" w:hAnsi="宋体" w:eastAsia="宋体" w:cs="宋体"/>
        </w:rPr>
        <w:t>最终</w:t>
      </w:r>
      <w:r>
        <w:rPr>
          <w:rFonts w:ascii="Arial" w:hAnsi="Arial" w:eastAsia="Arial" w:cs="Arial"/>
        </w:rPr>
        <w:t>,</w:t>
      </w:r>
      <w:r>
        <w:rPr>
          <w:rFonts w:ascii="宋体" w:hAnsi="宋体" w:eastAsia="宋体" w:cs="宋体"/>
        </w:rPr>
        <w:t>基金公司表示愿意向投资者</w:t>
      </w:r>
    </w:p>
    <w:p>
      <w:pPr>
        <w:sectPr>
          <w:pgSz w:w="8500" w:h="11339"/>
          <w:pgMar w:top="1306" w:right="884" w:bottom="517" w:left="1000" w:header="0" w:footer="0" w:gutter="0"/>
          <w:cols w:equalWidth="0" w:num="1">
            <w:col w:w="6620"/>
          </w:cols>
        </w:sectPr>
      </w:pPr>
    </w:p>
    <w:p>
      <w:pPr>
        <w:spacing w:line="6" w:lineRule="exact"/>
        <w:rPr>
          <w:sz w:val="20"/>
          <w:szCs w:val="20"/>
        </w:rPr>
      </w:pPr>
    </w:p>
    <w:p>
      <w:pPr>
        <w:spacing w:line="231" w:lineRule="exact"/>
        <w:ind w:left="5460"/>
        <w:rPr>
          <w:sz w:val="20"/>
          <w:szCs w:val="20"/>
        </w:rPr>
      </w:pPr>
      <w:r>
        <w:rPr>
          <w:rFonts w:ascii="Arial" w:hAnsi="Arial" w:eastAsia="Arial" w:cs="Arial"/>
          <w:sz w:val="19"/>
          <w:szCs w:val="19"/>
        </w:rPr>
        <w:t>—</w:t>
      </w:r>
      <w:r>
        <w:rPr>
          <w:rFonts w:ascii="宋体" w:hAnsi="宋体" w:eastAsia="宋体" w:cs="宋体"/>
          <w:sz w:val="19"/>
          <w:szCs w:val="19"/>
        </w:rPr>
        <w:t>３３</w:t>
      </w:r>
      <w:r>
        <w:rPr>
          <w:rFonts w:ascii="Arial" w:hAnsi="Arial" w:eastAsia="Arial" w:cs="Arial"/>
          <w:sz w:val="19"/>
          <w:szCs w:val="19"/>
        </w:rPr>
        <w:t>—</w:t>
      </w:r>
    </w:p>
    <w:p>
      <w:pPr>
        <w:sectPr>
          <w:type w:val="continuous"/>
          <w:pgSz w:w="8500" w:h="11339"/>
          <w:pgMar w:top="1306" w:right="884" w:bottom="517" w:left="1000" w:header="0" w:footer="0" w:gutter="0"/>
          <w:cols w:equalWidth="0" w:num="1">
            <w:col w:w="6620"/>
          </w:cols>
        </w:sectPr>
      </w:pPr>
    </w:p>
    <w:p>
      <w:pPr>
        <w:spacing w:line="426" w:lineRule="exact"/>
        <w:jc w:val="both"/>
        <w:rPr>
          <w:sz w:val="20"/>
          <w:szCs w:val="20"/>
        </w:rPr>
      </w:pPr>
      <w:bookmarkStart w:id="1" w:name="page36"/>
      <w:bookmarkEnd w:id="1"/>
      <w:r>
        <w:rPr>
          <w:rFonts w:ascii="宋体" w:hAnsi="宋体" w:eastAsia="宋体" w:cs="宋体"/>
        </w:rPr>
        <w:t>赠送纪念品</w:t>
      </w:r>
      <w:r>
        <w:rPr>
          <w:rFonts w:ascii="Arial" w:hAnsi="Arial" w:eastAsia="Arial" w:cs="Arial"/>
        </w:rPr>
        <w:t>,</w:t>
      </w:r>
      <w:r>
        <w:rPr>
          <w:rFonts w:ascii="宋体" w:hAnsi="宋体" w:eastAsia="宋体" w:cs="宋体"/>
        </w:rPr>
        <w:t>以示妥善处理双方纠纷事宜的诚意</w:t>
      </w:r>
      <w:r>
        <w:rPr>
          <w:rFonts w:ascii="Arial" w:hAnsi="Arial" w:eastAsia="Arial" w:cs="Arial"/>
        </w:rPr>
        <w:t>,</w:t>
      </w:r>
      <w:r>
        <w:rPr>
          <w:rFonts w:ascii="宋体" w:hAnsi="宋体" w:eastAsia="宋体" w:cs="宋体"/>
        </w:rPr>
        <w:t>并表示希望与投资者继续业务合作关系</w:t>
      </w:r>
      <w:r>
        <w:rPr>
          <w:rFonts w:ascii="Arial" w:hAnsi="Arial" w:eastAsia="Arial" w:cs="Arial"/>
        </w:rPr>
        <w:t>,</w:t>
      </w:r>
      <w:r>
        <w:rPr>
          <w:rFonts w:ascii="宋体" w:hAnsi="宋体" w:eastAsia="宋体" w:cs="宋体"/>
        </w:rPr>
        <w:t>为投资者提供更好的服务</w:t>
      </w:r>
      <w:r>
        <w:rPr>
          <w:rFonts w:ascii="Arial" w:hAnsi="Arial" w:eastAsia="Arial" w:cs="Arial"/>
        </w:rPr>
        <w:t>.</w:t>
      </w:r>
      <w:r>
        <w:rPr>
          <w:rFonts w:ascii="宋体" w:hAnsi="宋体" w:eastAsia="宋体" w:cs="宋体"/>
        </w:rPr>
        <w:t>投资者经考虑后接受了该调解方案</w:t>
      </w:r>
      <w:r>
        <w:rPr>
          <w:rFonts w:ascii="Arial" w:hAnsi="Arial" w:eastAsia="Arial" w:cs="Arial"/>
        </w:rPr>
        <w:t>,</w:t>
      </w:r>
      <w:r>
        <w:rPr>
          <w:rFonts w:ascii="宋体" w:hAnsi="宋体" w:eastAsia="宋体" w:cs="宋体"/>
        </w:rPr>
        <w:t>双方最终签署了和解协议</w:t>
      </w:r>
      <w:r>
        <w:rPr>
          <w:rFonts w:ascii="Arial" w:hAnsi="Arial" w:eastAsia="Arial" w:cs="Arial"/>
        </w:rPr>
        <w:t>.</w:t>
      </w:r>
    </w:p>
    <w:p>
      <w:pPr>
        <w:sectPr>
          <w:pgSz w:w="8500" w:h="11339"/>
          <w:pgMar w:top="1306" w:right="1004" w:bottom="517" w:left="1000" w:header="0" w:footer="0" w:gutter="0"/>
          <w:cols w:equalWidth="0" w:num="1">
            <w:col w:w="6500"/>
          </w:cols>
        </w:sectPr>
      </w:pPr>
    </w:p>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11A95"/>
    <w:rsid w:val="1971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2020-02-22T08:11:00Z</dcterms:created>
  <dc:creator>Administrator</dc:creator>
  <cp:lastModifiedBy>Administrator</cp:lastModifiedBy>
  <dcterms:modified xsi:type="dcterms:W3CDTF">2020-02-22T08:11:44Z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