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4" w:lineRule="exact"/>
        <w:jc w:val="both"/>
        <w:rPr>
          <w:sz w:val="20"/>
          <w:szCs w:val="20"/>
        </w:rPr>
      </w:pPr>
      <w:r>
        <w:rPr>
          <w:rFonts w:ascii="宋体" w:hAnsi="宋体" w:eastAsia="宋体" w:cs="宋体"/>
          <w:sz w:val="28"/>
          <w:szCs w:val="28"/>
        </w:rPr>
        <w:t>案例１</w:t>
      </w:r>
      <w:r>
        <w:rPr>
          <w:rFonts w:ascii="Arial" w:hAnsi="Arial" w:eastAsia="Arial" w:cs="Arial"/>
          <w:sz w:val="28"/>
          <w:szCs w:val="28"/>
        </w:rPr>
        <w:t>:</w:t>
      </w:r>
      <w:r>
        <w:rPr>
          <w:rFonts w:ascii="宋体" w:hAnsi="宋体" w:eastAsia="宋体" w:cs="宋体"/>
          <w:sz w:val="28"/>
          <w:szCs w:val="28"/>
        </w:rPr>
        <w:t>投资者</w:t>
      </w:r>
      <w:r>
        <w:rPr>
          <w:rFonts w:ascii="Arial" w:hAnsi="Arial" w:eastAsia="Arial" w:cs="Arial"/>
          <w:sz w:val="28"/>
          <w:szCs w:val="28"/>
        </w:rPr>
        <w:t xml:space="preserve"> A</w:t>
      </w:r>
      <w:r>
        <w:rPr>
          <w:rFonts w:ascii="宋体" w:hAnsi="宋体" w:eastAsia="宋体" w:cs="宋体"/>
          <w:sz w:val="28"/>
          <w:szCs w:val="28"/>
        </w:rPr>
        <w:t>与</w:t>
      </w:r>
      <w:r>
        <w:rPr>
          <w:rFonts w:ascii="Arial" w:hAnsi="Arial" w:eastAsia="Arial" w:cs="Arial"/>
          <w:sz w:val="28"/>
          <w:szCs w:val="28"/>
        </w:rPr>
        <w:t>B</w:t>
      </w:r>
      <w:r>
        <w:rPr>
          <w:rFonts w:ascii="宋体" w:hAnsi="宋体" w:eastAsia="宋体" w:cs="宋体"/>
          <w:sz w:val="28"/>
          <w:szCs w:val="28"/>
        </w:rPr>
        <w:t>证券营业部证券经纪业务纠纷调解案</w:t>
      </w:r>
    </w:p>
    <w:p>
      <w:pPr>
        <w:spacing w:line="200" w:lineRule="exact"/>
        <w:rPr>
          <w:sz w:val="20"/>
          <w:szCs w:val="20"/>
        </w:rPr>
      </w:pPr>
    </w:p>
    <w:p>
      <w:pPr>
        <w:spacing w:line="360" w:lineRule="exact"/>
        <w:rPr>
          <w:sz w:val="20"/>
          <w:szCs w:val="20"/>
        </w:rPr>
      </w:pPr>
    </w:p>
    <w:p>
      <w:pPr>
        <w:spacing w:line="267" w:lineRule="exact"/>
        <w:ind w:left="480"/>
        <w:rPr>
          <w:sz w:val="20"/>
          <w:szCs w:val="20"/>
        </w:rPr>
      </w:pPr>
      <w:r>
        <w:rPr>
          <w:rFonts w:ascii="宋体" w:hAnsi="宋体" w:eastAsia="宋体" w:cs="宋体"/>
        </w:rPr>
        <w:t>案例综述</w:t>
      </w:r>
      <w:r>
        <w:rPr>
          <w:rFonts w:ascii="Arial" w:hAnsi="Arial" w:eastAsia="Arial" w:cs="Arial"/>
        </w:rPr>
        <w:t xml:space="preserve"> :</w:t>
      </w:r>
    </w:p>
    <w:p>
      <w:pPr>
        <w:spacing w:line="296" w:lineRule="exact"/>
        <w:rPr>
          <w:sz w:val="20"/>
          <w:szCs w:val="20"/>
        </w:rPr>
      </w:pPr>
    </w:p>
    <w:p>
      <w:pPr>
        <w:spacing w:line="394" w:lineRule="exact"/>
        <w:ind w:firstLine="477"/>
        <w:jc w:val="both"/>
        <w:rPr>
          <w:sz w:val="20"/>
          <w:szCs w:val="20"/>
        </w:rPr>
      </w:pPr>
      <w:r>
        <w:rPr>
          <w:rFonts w:ascii="宋体" w:hAnsi="宋体" w:eastAsia="宋体" w:cs="宋体"/>
        </w:rPr>
        <w:t>本案是调解中心成立后受理的第一宗案件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客户与证券经营机构在证券经纪业务中因交易系统问题产生纠纷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经过调解员和调解中心工作人员的共同努力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在一星期内成功调解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及时、有效地化解了矛盾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体现了专业调解机制灵活、便利、保密的优势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是投资者纠纷解决机制不可缺少的组成部分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本案反映出目前投资者教育工作存在的持续性、有效性问题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不少投资者风险意识较为淡薄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证券经营机构往往满足于在开户资料中书面提示相关风险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而疏于通过当面沟通、交易软件弹窗提示等灵活性强的方式做好投资者交易工作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更是鲜见形式新颖活泼、喜闻乐见的交流沟通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部分投资者难以理解、也无耐心阅读开户资料中繁复的文字条款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不能对证券投资活动和存在的风险有直观的认识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难以树立起正确的投资理念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因而容易遭受超出其承担能力的亏损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在一些争议问题上与机构也难</w:t>
      </w:r>
    </w:p>
    <w:p>
      <w:pPr>
        <w:spacing w:line="20" w:lineRule="exact"/>
        <w:rPr>
          <w:sz w:val="20"/>
          <w:szCs w:val="20"/>
        </w:rPr>
      </w:pPr>
      <w:bookmarkStart w:id="2" w:name="_GoBack"/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192405</wp:posOffset>
                </wp:positionV>
                <wp:extent cx="103314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15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o:spt="20" style="position:absolute;left:0pt;margin-left:-0.35pt;margin-top:15.15pt;height:0pt;width:81.35pt;z-index:-251661312;mso-width-relative:page;mso-height-relative:page;" fillcolor="#FFFFFF" filled="t" stroked="t" coordsize="21600,21600" o:allowincell="f" o:gfxdata="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DFOuWHWAAAABwEAAA8AAAAAAAAAAQAgAAAAIgAAAGRy&#10;cy9kb3ducmV2LnhtbFBLAQIUABQAAAAIAIdO4kBiNg+/lQEAAEsDAAAOAAAAAAAAAAEAIAAAACUB&#10;AABkcnMvZTJvRG9jLnhtbFBLBQYAAAAABgAGAFkBAAAsBQAAAAA=&#10;">
                <v:fill on="t" focussize="0,0"/>
                <v:stroke weight="0.326929133858268pt" color="#000000" miterlimit="8" joinstyle="miter"/>
                <v:imagedata o:title=""/>
                <o:lock v:ext="edit" aspectratio="f"/>
              </v:line>
            </w:pict>
          </mc:Fallback>
        </mc:AlternateContent>
      </w:r>
      <w:bookmarkEnd w:id="2"/>
    </w:p>
    <w:p>
      <w:pPr>
        <w:spacing w:line="200" w:lineRule="exact"/>
        <w:rPr>
          <w:sz w:val="20"/>
          <w:szCs w:val="20"/>
        </w:rPr>
      </w:pPr>
    </w:p>
    <w:p>
      <w:pPr>
        <w:spacing w:line="247" w:lineRule="exact"/>
        <w:rPr>
          <w:sz w:val="20"/>
          <w:szCs w:val="20"/>
        </w:rPr>
      </w:pPr>
    </w:p>
    <w:p>
      <w:pPr>
        <w:spacing w:line="158" w:lineRule="exact"/>
        <w:ind w:left="280"/>
        <w:rPr>
          <w:sz w:val="20"/>
          <w:szCs w:val="20"/>
        </w:rPr>
      </w:pPr>
      <w:r>
        <w:rPr>
          <w:rFonts w:ascii="宋体" w:hAnsi="宋体" w:eastAsia="宋体" w:cs="宋体"/>
          <w:sz w:val="13"/>
          <w:szCs w:val="13"/>
        </w:rPr>
        <w:t>本案调解员</w:t>
      </w:r>
      <w:r>
        <w:rPr>
          <w:rFonts w:ascii="Arial" w:hAnsi="Arial" w:eastAsia="Arial" w:cs="Arial"/>
          <w:sz w:val="13"/>
          <w:szCs w:val="13"/>
        </w:rPr>
        <w:t>:</w:t>
      </w:r>
      <w:r>
        <w:rPr>
          <w:rFonts w:ascii="宋体" w:hAnsi="宋体" w:eastAsia="宋体" w:cs="宋体"/>
          <w:sz w:val="13"/>
          <w:szCs w:val="13"/>
        </w:rPr>
        <w:t>付彦女士</w:t>
      </w:r>
      <w:r>
        <w:rPr>
          <w:rFonts w:ascii="Arial" w:hAnsi="Arial" w:eastAsia="Arial" w:cs="Arial"/>
          <w:sz w:val="13"/>
          <w:szCs w:val="13"/>
        </w:rPr>
        <w:t xml:space="preserve"> (</w:t>
      </w:r>
      <w:r>
        <w:rPr>
          <w:rFonts w:ascii="宋体" w:hAnsi="宋体" w:eastAsia="宋体" w:cs="宋体"/>
          <w:sz w:val="13"/>
          <w:szCs w:val="13"/>
        </w:rPr>
        <w:t>深圳证券交易所法律部总监</w:t>
      </w:r>
      <w:r>
        <w:rPr>
          <w:rFonts w:ascii="Arial" w:hAnsi="Arial" w:eastAsia="Arial" w:cs="Arial"/>
          <w:sz w:val="13"/>
          <w:szCs w:val="13"/>
        </w:rPr>
        <w:t>,</w:t>
      </w:r>
      <w:r>
        <w:rPr>
          <w:rFonts w:ascii="宋体" w:hAnsi="宋体" w:eastAsia="宋体" w:cs="宋体"/>
          <w:sz w:val="13"/>
          <w:szCs w:val="13"/>
        </w:rPr>
        <w:t>华南国仲仲裁员</w:t>
      </w:r>
      <w:r>
        <w:rPr>
          <w:rFonts w:ascii="Arial" w:hAnsi="Arial" w:eastAsia="Arial" w:cs="Arial"/>
          <w:sz w:val="13"/>
          <w:szCs w:val="13"/>
        </w:rPr>
        <w:t>)</w:t>
      </w:r>
    </w:p>
    <w:p>
      <w:pPr>
        <w:sectPr>
          <w:pgSz w:w="8500" w:h="11339"/>
          <w:pgMar w:top="1440" w:right="1004" w:bottom="517" w:left="1000" w:header="0" w:footer="0" w:gutter="0"/>
          <w:cols w:equalWidth="0" w:num="1">
            <w:col w:w="6500"/>
          </w:cols>
        </w:sectPr>
      </w:pPr>
    </w:p>
    <w:p>
      <w:pPr>
        <w:spacing w:line="150" w:lineRule="exact"/>
        <w:rPr>
          <w:sz w:val="20"/>
          <w:szCs w:val="20"/>
        </w:rPr>
      </w:pPr>
    </w:p>
    <w:p>
      <w:pPr>
        <w:spacing w:line="231" w:lineRule="exact"/>
        <w:ind w:left="5560"/>
        <w:rPr>
          <w:sz w:val="20"/>
          <w:szCs w:val="20"/>
        </w:rPr>
      </w:pPr>
      <w:r>
        <w:rPr>
          <w:rFonts w:ascii="Arial" w:hAnsi="Arial" w:eastAsia="Arial" w:cs="Arial"/>
          <w:sz w:val="19"/>
          <w:szCs w:val="19"/>
        </w:rPr>
        <w:t xml:space="preserve">— </w:t>
      </w:r>
      <w:r>
        <w:rPr>
          <w:rFonts w:ascii="宋体" w:hAnsi="宋体" w:eastAsia="宋体" w:cs="宋体"/>
          <w:sz w:val="19"/>
          <w:szCs w:val="19"/>
        </w:rPr>
        <w:t>５</w:t>
      </w:r>
      <w:r>
        <w:rPr>
          <w:rFonts w:ascii="Arial" w:hAnsi="Arial" w:eastAsia="Arial" w:cs="Arial"/>
          <w:sz w:val="19"/>
          <w:szCs w:val="19"/>
        </w:rPr>
        <w:t xml:space="preserve"> —</w:t>
      </w:r>
    </w:p>
    <w:p>
      <w:pPr>
        <w:sectPr>
          <w:type w:val="continuous"/>
          <w:pgSz w:w="8500" w:h="11339"/>
          <w:pgMar w:top="1440" w:right="1004" w:bottom="517" w:left="1000" w:header="0" w:footer="0" w:gutter="0"/>
          <w:cols w:equalWidth="0" w:num="1">
            <w:col w:w="6500"/>
          </w:cols>
        </w:sectPr>
      </w:pPr>
    </w:p>
    <w:p>
      <w:pPr>
        <w:spacing w:line="453" w:lineRule="exact"/>
        <w:ind w:left="21" w:right="120"/>
        <w:jc w:val="both"/>
        <w:rPr>
          <w:sz w:val="20"/>
          <w:szCs w:val="20"/>
        </w:rPr>
      </w:pPr>
      <w:bookmarkStart w:id="0" w:name="page8"/>
      <w:bookmarkEnd w:id="0"/>
      <w:r>
        <w:rPr>
          <w:rFonts w:ascii="宋体" w:hAnsi="宋体" w:eastAsia="宋体" w:cs="宋体"/>
        </w:rPr>
        <w:t>以达成共识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为了从源头减少投资者纠纷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证券经营机构有必要进一步做好、做实投资者教育工作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采用投资者容易接受的形式加强风险提示和交易宣传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通过投诉处理和调解机制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在个案中向投资者宣传证券的投资和风险理念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也是一种效果较好的方法</w:t>
      </w:r>
      <w:r>
        <w:rPr>
          <w:rFonts w:ascii="Arial" w:hAnsi="Arial" w:eastAsia="Arial" w:cs="Arial"/>
        </w:rPr>
        <w:t>.</w:t>
      </w:r>
    </w:p>
    <w:p>
      <w:pPr>
        <w:spacing w:line="256" w:lineRule="exact"/>
        <w:rPr>
          <w:sz w:val="20"/>
          <w:szCs w:val="20"/>
        </w:rPr>
      </w:pPr>
    </w:p>
    <w:p>
      <w:pPr>
        <w:spacing w:line="251" w:lineRule="exact"/>
        <w:ind w:left="501"/>
        <w:rPr>
          <w:sz w:val="20"/>
          <w:szCs w:val="20"/>
        </w:rPr>
      </w:pPr>
      <w:r>
        <w:rPr>
          <w:rFonts w:ascii="宋体" w:hAnsi="宋体" w:eastAsia="宋体" w:cs="宋体"/>
        </w:rPr>
        <w:t>一、案情回顾</w:t>
      </w:r>
    </w:p>
    <w:p>
      <w:pPr>
        <w:spacing w:line="312" w:lineRule="exact"/>
        <w:rPr>
          <w:sz w:val="20"/>
          <w:szCs w:val="20"/>
        </w:rPr>
      </w:pPr>
    </w:p>
    <w:p>
      <w:pPr>
        <w:spacing w:line="267" w:lineRule="exact"/>
        <w:ind w:left="501"/>
        <w:rPr>
          <w:sz w:val="20"/>
          <w:szCs w:val="20"/>
        </w:rPr>
      </w:pPr>
      <w:r>
        <w:rPr>
          <w:rFonts w:ascii="宋体" w:hAnsi="宋体" w:eastAsia="宋体" w:cs="宋体"/>
        </w:rPr>
        <w:t>投资者</w:t>
      </w:r>
      <w:r>
        <w:rPr>
          <w:rFonts w:ascii="Arial" w:hAnsi="Arial" w:eastAsia="Arial" w:cs="Arial"/>
        </w:rPr>
        <w:t>A</w:t>
      </w:r>
      <w:r>
        <w:rPr>
          <w:rFonts w:ascii="宋体" w:hAnsi="宋体" w:eastAsia="宋体" w:cs="宋体"/>
        </w:rPr>
        <w:t>是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证券营业部的客户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由于营业部技术原因</w:t>
      </w:r>
      <w:r>
        <w:rPr>
          <w:rFonts w:ascii="Arial" w:hAnsi="Arial" w:eastAsia="Arial" w:cs="Arial"/>
        </w:rPr>
        <w:t>,</w:t>
      </w:r>
    </w:p>
    <w:p>
      <w:pPr>
        <w:spacing w:line="108" w:lineRule="exact"/>
        <w:rPr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264"/>
        </w:tabs>
        <w:spacing w:line="453" w:lineRule="exact"/>
        <w:ind w:left="21" w:right="120" w:hanging="21"/>
        <w:jc w:val="both"/>
        <w:rPr>
          <w:rFonts w:ascii="Arial" w:hAnsi="Arial" w:eastAsia="Arial" w:cs="Arial"/>
        </w:rPr>
      </w:pPr>
      <w:r>
        <w:rPr>
          <w:rFonts w:ascii="宋体" w:hAnsi="宋体" w:eastAsia="宋体" w:cs="宋体"/>
        </w:rPr>
        <w:t>在未按交易所通知要求阅知确认相关风险揭示的情况下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买入某只停牌后首日上市的</w:t>
      </w:r>
      <w:r>
        <w:rPr>
          <w:rFonts w:ascii="Arial" w:hAnsi="Arial" w:eastAsia="Arial" w:cs="Arial"/>
        </w:rPr>
        <w:t>ST</w:t>
      </w:r>
      <w:r>
        <w:rPr>
          <w:rFonts w:ascii="宋体" w:hAnsi="宋体" w:eastAsia="宋体" w:cs="宋体"/>
        </w:rPr>
        <w:t>股票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因出现亏损与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营业部发生纠纷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后因协商不成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向深圳证监局投诉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信访工作人员引导</w:t>
      </w:r>
      <w:r>
        <w:rPr>
          <w:rFonts w:ascii="Arial" w:hAnsi="Arial" w:eastAsia="Arial" w:cs="Arial"/>
        </w:rPr>
        <w:t>A</w:t>
      </w:r>
      <w:r>
        <w:rPr>
          <w:rFonts w:ascii="宋体" w:hAnsi="宋体" w:eastAsia="宋体" w:cs="宋体"/>
        </w:rPr>
        <w:t>向调解中心申请调解</w:t>
      </w:r>
      <w:r>
        <w:rPr>
          <w:rFonts w:ascii="Arial" w:hAnsi="Arial" w:eastAsia="Arial" w:cs="Arial"/>
        </w:rPr>
        <w:t>,A</w:t>
      </w:r>
      <w:r>
        <w:rPr>
          <w:rFonts w:ascii="宋体" w:hAnsi="宋体" w:eastAsia="宋体" w:cs="宋体"/>
        </w:rPr>
        <w:t>与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营业部共同提出了调解申请</w:t>
      </w:r>
      <w:r>
        <w:rPr>
          <w:rFonts w:ascii="Arial" w:hAnsi="Arial" w:eastAsia="Arial" w:cs="Arial"/>
        </w:rPr>
        <w:t>.</w:t>
      </w:r>
    </w:p>
    <w:p>
      <w:pPr>
        <w:spacing w:line="258" w:lineRule="exact"/>
        <w:rPr>
          <w:sz w:val="20"/>
          <w:szCs w:val="20"/>
        </w:rPr>
      </w:pPr>
    </w:p>
    <w:p>
      <w:pPr>
        <w:spacing w:line="251" w:lineRule="exact"/>
        <w:ind w:left="501"/>
        <w:rPr>
          <w:sz w:val="20"/>
          <w:szCs w:val="20"/>
        </w:rPr>
      </w:pPr>
      <w:r>
        <w:rPr>
          <w:rFonts w:ascii="宋体" w:hAnsi="宋体" w:eastAsia="宋体" w:cs="宋体"/>
        </w:rPr>
        <w:t>二、调解过程和结果</w:t>
      </w:r>
    </w:p>
    <w:p>
      <w:pPr>
        <w:spacing w:line="312" w:lineRule="exact"/>
        <w:rPr>
          <w:sz w:val="20"/>
          <w:szCs w:val="20"/>
        </w:rPr>
      </w:pPr>
    </w:p>
    <w:p>
      <w:pPr>
        <w:spacing w:line="403" w:lineRule="exact"/>
        <w:ind w:left="21" w:right="120" w:firstLine="477"/>
        <w:jc w:val="both"/>
        <w:rPr>
          <w:sz w:val="20"/>
          <w:szCs w:val="20"/>
        </w:rPr>
      </w:pPr>
      <w:r>
        <w:rPr>
          <w:rFonts w:ascii="宋体" w:hAnsi="宋体" w:eastAsia="宋体" w:cs="宋体"/>
        </w:rPr>
        <w:t>调解中心受理申请后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细致周全地做好各项准备工作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工作人员及时向当事人发送</w:t>
      </w:r>
      <w:r>
        <w:rPr>
          <w:rFonts w:ascii="Arial" w:hAnsi="Arial" w:eastAsia="Arial" w:cs="Arial"/>
        </w:rPr>
        <w:t xml:space="preserve"> «</w:t>
      </w:r>
      <w:r>
        <w:rPr>
          <w:rFonts w:ascii="宋体" w:hAnsi="宋体" w:eastAsia="宋体" w:cs="宋体"/>
        </w:rPr>
        <w:t>调解规则</w:t>
      </w:r>
      <w:r>
        <w:rPr>
          <w:rFonts w:ascii="Arial" w:hAnsi="Arial" w:eastAsia="Arial" w:cs="Arial"/>
        </w:rPr>
        <w:t>»</w:t>
      </w:r>
      <w:r>
        <w:rPr>
          <w:rFonts w:ascii="宋体" w:hAnsi="宋体" w:eastAsia="宋体" w:cs="宋体"/>
        </w:rPr>
        <w:t>和</w:t>
      </w:r>
      <w:r>
        <w:rPr>
          <w:rFonts w:ascii="Arial" w:hAnsi="Arial" w:eastAsia="Arial" w:cs="Arial"/>
        </w:rPr>
        <w:t xml:space="preserve"> «</w:t>
      </w:r>
      <w:r>
        <w:rPr>
          <w:rFonts w:ascii="宋体" w:hAnsi="宋体" w:eastAsia="宋体" w:cs="宋体"/>
        </w:rPr>
        <w:t>调解员名册</w:t>
      </w:r>
      <w:r>
        <w:rPr>
          <w:rFonts w:ascii="Arial" w:hAnsi="Arial" w:eastAsia="Arial" w:cs="Arial"/>
        </w:rPr>
        <w:t>»,</w:t>
      </w:r>
      <w:r>
        <w:rPr>
          <w:rFonts w:ascii="宋体" w:hAnsi="宋体" w:eastAsia="宋体" w:cs="宋体"/>
        </w:rPr>
        <w:t>多次与投资者</w:t>
      </w:r>
      <w:r>
        <w:rPr>
          <w:rFonts w:ascii="Arial" w:hAnsi="Arial" w:eastAsia="Arial" w:cs="Arial"/>
        </w:rPr>
        <w:t>A</w:t>
      </w:r>
      <w:r>
        <w:rPr>
          <w:rFonts w:ascii="宋体" w:hAnsi="宋体" w:eastAsia="宋体" w:cs="宋体"/>
        </w:rPr>
        <w:t>电话联系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倾听其诉求并向其介绍调解程序相关事宜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协调安排调解场地、助理人员等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双方当事人选定深圳证券交易所法律部总监付彦女士担任调解员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调解中心在受理申请后一周内即组织进行了调解</w:t>
      </w:r>
      <w:r>
        <w:rPr>
          <w:rFonts w:ascii="Arial" w:hAnsi="Arial" w:eastAsia="Arial" w:cs="Arial"/>
        </w:rPr>
        <w:t>.</w:t>
      </w:r>
    </w:p>
    <w:p>
      <w:pPr>
        <w:spacing w:line="244" w:lineRule="exact"/>
        <w:rPr>
          <w:sz w:val="20"/>
          <w:szCs w:val="20"/>
        </w:rPr>
      </w:pPr>
    </w:p>
    <w:p>
      <w:pPr>
        <w:spacing w:line="417" w:lineRule="exact"/>
        <w:ind w:left="21" w:right="120" w:firstLine="477"/>
        <w:jc w:val="both"/>
        <w:rPr>
          <w:sz w:val="20"/>
          <w:szCs w:val="20"/>
        </w:rPr>
      </w:pPr>
      <w:r>
        <w:rPr>
          <w:rFonts w:ascii="宋体" w:hAnsi="宋体" w:eastAsia="宋体" w:cs="宋体"/>
        </w:rPr>
        <w:t>调解开始后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调解员首先听取了双方当事人的意见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由于双方对事实没有争议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但实体诉求差距较大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调解员针对各方</w:t>
      </w:r>
    </w:p>
    <w:p>
      <w:pPr>
        <w:sectPr>
          <w:pgSz w:w="8500" w:h="11339"/>
          <w:pgMar w:top="1306" w:right="884" w:bottom="517" w:left="979" w:header="0" w:footer="0" w:gutter="0"/>
          <w:cols w:equalWidth="0" w:num="1">
            <w:col w:w="6641"/>
          </w:cols>
        </w:sectPr>
      </w:pPr>
    </w:p>
    <w:p>
      <w:pPr>
        <w:spacing w:line="231" w:lineRule="exact"/>
        <w:ind w:left="121"/>
        <w:rPr>
          <w:sz w:val="20"/>
          <w:szCs w:val="20"/>
        </w:rPr>
      </w:pPr>
      <w:r>
        <w:rPr>
          <w:rFonts w:ascii="Arial" w:hAnsi="Arial" w:eastAsia="Arial" w:cs="Arial"/>
          <w:sz w:val="19"/>
          <w:szCs w:val="19"/>
        </w:rPr>
        <w:t xml:space="preserve">— </w:t>
      </w:r>
      <w:r>
        <w:rPr>
          <w:rFonts w:ascii="宋体" w:hAnsi="宋体" w:eastAsia="宋体" w:cs="宋体"/>
          <w:sz w:val="19"/>
          <w:szCs w:val="19"/>
        </w:rPr>
        <w:t>６</w:t>
      </w:r>
      <w:r>
        <w:rPr>
          <w:rFonts w:ascii="Arial" w:hAnsi="Arial" w:eastAsia="Arial" w:cs="Arial"/>
          <w:sz w:val="19"/>
          <w:szCs w:val="19"/>
        </w:rPr>
        <w:t xml:space="preserve"> —</w:t>
      </w:r>
    </w:p>
    <w:p>
      <w:pPr>
        <w:sectPr>
          <w:type w:val="continuous"/>
          <w:pgSz w:w="8500" w:h="11339"/>
          <w:pgMar w:top="1306" w:right="884" w:bottom="517" w:left="979" w:header="0" w:footer="0" w:gutter="0"/>
          <w:cols w:equalWidth="0" w:num="1">
            <w:col w:w="6641"/>
          </w:cols>
        </w:sectPr>
      </w:pPr>
    </w:p>
    <w:p>
      <w:pPr>
        <w:spacing w:line="409" w:lineRule="exact"/>
        <w:ind w:firstLine="21"/>
        <w:jc w:val="both"/>
        <w:rPr>
          <w:sz w:val="20"/>
          <w:szCs w:val="20"/>
        </w:rPr>
      </w:pPr>
      <w:bookmarkStart w:id="1" w:name="page9"/>
      <w:bookmarkEnd w:id="1"/>
      <w:r>
        <w:rPr>
          <w:rFonts w:ascii="宋体" w:hAnsi="宋体" w:eastAsia="宋体" w:cs="宋体"/>
        </w:rPr>
        <w:t>实际情况分别耐心地说和、讲道理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投资者</w:t>
      </w:r>
      <w:r>
        <w:rPr>
          <w:rFonts w:ascii="Arial" w:hAnsi="Arial" w:eastAsia="Arial" w:cs="Arial"/>
        </w:rPr>
        <w:t>A</w:t>
      </w:r>
      <w:r>
        <w:rPr>
          <w:rFonts w:ascii="宋体" w:hAnsi="宋体" w:eastAsia="宋体" w:cs="宋体"/>
        </w:rPr>
        <w:t>年龄较大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也有一些怨气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调解员就把她当成自己的老大姐谈心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并向她讲明投资者应树立风险意识和</w:t>
      </w:r>
      <w:r>
        <w:rPr>
          <w:rFonts w:ascii="Arial" w:hAnsi="Arial" w:eastAsia="Arial" w:cs="Arial"/>
        </w:rPr>
        <w:t xml:space="preserve"> “</w:t>
      </w:r>
      <w:r>
        <w:rPr>
          <w:rFonts w:ascii="宋体" w:hAnsi="宋体" w:eastAsia="宋体" w:cs="宋体"/>
        </w:rPr>
        <w:t>买者自负</w:t>
      </w:r>
      <w:r>
        <w:rPr>
          <w:rFonts w:ascii="Arial" w:hAnsi="Arial" w:eastAsia="Arial" w:cs="Arial"/>
        </w:rPr>
        <w:t>”</w:t>
      </w:r>
      <w:r>
        <w:rPr>
          <w:rFonts w:ascii="宋体" w:hAnsi="宋体" w:eastAsia="宋体" w:cs="宋体"/>
        </w:rPr>
        <w:t>的道理</w:t>
      </w:r>
      <w:r>
        <w:rPr>
          <w:rFonts w:ascii="Arial" w:hAnsi="Arial" w:eastAsia="Arial" w:cs="Arial"/>
        </w:rPr>
        <w:t>;</w:t>
      </w:r>
      <w:r>
        <w:rPr>
          <w:rFonts w:ascii="宋体" w:hAnsi="宋体" w:eastAsia="宋体" w:cs="宋体"/>
        </w:rPr>
        <w:t>对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营业部一方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调解员则针对其工作中的疏漏和客户关系等方面讲解利害关系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经过一个多小时的耐心调解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双方达成了一致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投资者</w:t>
      </w:r>
      <w:r>
        <w:rPr>
          <w:rFonts w:ascii="Arial" w:hAnsi="Arial" w:eastAsia="Arial" w:cs="Arial"/>
        </w:rPr>
        <w:t>A</w:t>
      </w:r>
      <w:r>
        <w:rPr>
          <w:rFonts w:ascii="宋体" w:hAnsi="宋体" w:eastAsia="宋体" w:cs="宋体"/>
        </w:rPr>
        <w:t>同意继续留在</w:t>
      </w:r>
      <w:r>
        <w:rPr>
          <w:rFonts w:ascii="Arial" w:hAnsi="Arial" w:eastAsia="Arial" w:cs="Arial"/>
        </w:rPr>
        <w:t>B</w:t>
      </w:r>
      <w:r>
        <w:rPr>
          <w:rFonts w:ascii="宋体" w:hAnsi="宋体" w:eastAsia="宋体" w:cs="宋体"/>
        </w:rPr>
        <w:t>营业部</w:t>
      </w:r>
      <w:r>
        <w:rPr>
          <w:rFonts w:ascii="Arial" w:hAnsi="Arial" w:eastAsia="Arial" w:cs="Arial"/>
        </w:rPr>
        <w:t>,B</w:t>
      </w:r>
      <w:r>
        <w:rPr>
          <w:rFonts w:ascii="宋体" w:hAnsi="宋体" w:eastAsia="宋体" w:cs="宋体"/>
        </w:rPr>
        <w:t>营业部也给予投资者</w:t>
      </w:r>
      <w:r>
        <w:rPr>
          <w:rFonts w:ascii="Arial" w:hAnsi="Arial" w:eastAsia="Arial" w:cs="Arial"/>
        </w:rPr>
        <w:t>A</w:t>
      </w:r>
      <w:r>
        <w:rPr>
          <w:rFonts w:ascii="宋体" w:hAnsi="宋体" w:eastAsia="宋体" w:cs="宋体"/>
        </w:rPr>
        <w:t>较高的服务等级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双方当场签订了调解协议</w:t>
      </w:r>
      <w:r>
        <w:rPr>
          <w:rFonts w:ascii="Arial" w:hAnsi="Arial" w:eastAsia="Arial" w:cs="Arial"/>
        </w:rPr>
        <w:t>,</w:t>
      </w:r>
      <w:r>
        <w:rPr>
          <w:rFonts w:ascii="宋体" w:hAnsi="宋体" w:eastAsia="宋体" w:cs="宋体"/>
        </w:rPr>
        <w:t>确定了补偿数额和履行的期限</w:t>
      </w:r>
      <w:r>
        <w:rPr>
          <w:rFonts w:ascii="Arial" w:hAnsi="Arial" w:eastAsia="Arial" w:cs="Arial"/>
        </w:rPr>
        <w:t>.</w:t>
      </w:r>
      <w:r>
        <w:rPr>
          <w:rFonts w:ascii="宋体" w:hAnsi="宋体" w:eastAsia="宋体" w:cs="宋体"/>
        </w:rPr>
        <w:t>调解中心工作人员还不失时机地向客户赠送了证监会投保局、深交所编印的投资者保护教育宣传手册</w:t>
      </w:r>
      <w:r>
        <w:rPr>
          <w:rFonts w:ascii="Arial" w:hAnsi="Arial" w:eastAsia="Arial" w:cs="Arial"/>
        </w:rPr>
        <w:t>.</w:t>
      </w:r>
    </w:p>
    <w:p>
      <w:pPr>
        <w:sectPr>
          <w:pgSz w:w="8500" w:h="11339"/>
          <w:pgMar w:top="1306" w:right="1004" w:bottom="517" w:left="980" w:header="0" w:footer="0" w:gutter="0"/>
          <w:cols w:equalWidth="0" w:num="1">
            <w:col w:w="6520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B58BA"/>
    <w:multiLevelType w:val="multilevel"/>
    <w:tmpl w:val="3D1B58BA"/>
    <w:lvl w:ilvl="0" w:tentative="0">
      <w:start w:val="1"/>
      <w:numFmt w:val="upperLetter"/>
      <w:lvlText w:val="%1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427BC"/>
    <w:rsid w:val="11F4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2020-02-22T08:01:00Z</dcterms:created>
  <dc:creator>Administrator</dc:creator>
  <cp:lastModifiedBy>Administrator</cp:lastModifiedBy>
  <dcterms:modified xsi:type="dcterms:W3CDTF">2020-02-22T08:01:45Z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