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20" w:lineRule="exact"/>
        <w:jc w:val="left"/>
        <w:rPr>
          <w:rFonts w:ascii="Times New Roman" w:hAnsi="Times New Roman"/>
        </w:rPr>
      </w:pPr>
      <w:bookmarkStart w:id="0" w:name="_Toc429325810"/>
      <w:r>
        <w:rPr>
          <w:rFonts w:ascii="Times New Roman" w:hAnsi="Times New Roman"/>
        </w:rPr>
        <w:t>案例6：基金经理A与B投资管理公司关于证券投资私募基金管理合作事项争议仲裁案</w:t>
      </w:r>
      <w:bookmarkEnd w:id="0"/>
    </w:p>
    <w:p>
      <w:pPr>
        <w:spacing w:line="520" w:lineRule="exact"/>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案例综述</w:t>
      </w:r>
      <w:r>
        <w:rPr>
          <w:rStyle w:val="7"/>
          <w:rFonts w:ascii="Times New Roman" w:hAnsi="Times New Roman"/>
          <w:b/>
          <w:sz w:val="28"/>
          <w:szCs w:val="28"/>
        </w:rPr>
        <w:footnoteReference w:id="0"/>
      </w:r>
      <w:r>
        <w:rPr>
          <w:rFonts w:ascii="Times New Roman" w:hAnsi="Times New Roman"/>
          <w:b/>
          <w:sz w:val="28"/>
          <w:szCs w:val="28"/>
        </w:rPr>
        <w:t>：</w:t>
      </w:r>
    </w:p>
    <w:p>
      <w:pPr>
        <w:spacing w:line="520" w:lineRule="exact"/>
        <w:ind w:firstLine="560" w:firstLineChars="200"/>
        <w:rPr>
          <w:rFonts w:ascii="Times New Roman" w:hAnsi="Times New Roman" w:eastAsia="楷体_GB2312" w:cs="Times New Roman"/>
          <w:sz w:val="28"/>
          <w:szCs w:val="28"/>
        </w:rPr>
      </w:pPr>
      <w:r>
        <w:rPr>
          <w:rFonts w:ascii="Times New Roman" w:hAnsi="Times New Roman" w:eastAsia="楷体_GB2312" w:cs="Times New Roman"/>
          <w:sz w:val="28"/>
          <w:szCs w:val="28"/>
        </w:rPr>
        <w:t>本案是一起关于证券投资私募基金管理合作事项的纠纷。被申请人B投资管理公司是基金管理人，申请人A是其委托的基金经理。申请人认为自己受托运作的基金及信托产品均有较大盈利，但被申请人却违反合同的约定拖欠管理费和收益提成，遂向华南国际经济贸易仲裁委员会提请仲裁。被申请人则认为申请人未按照合同约定管理相关的基金产品，多次违约，损害了被申请人的财产权益和商业信誉，要求申请人赔偿相应的损失。双方就减仓操作是否违约、是否造成了损失、收益分成支付条件是否满足等问题进行了激辩。</w:t>
      </w:r>
    </w:p>
    <w:p>
      <w:pPr>
        <w:spacing w:line="520" w:lineRule="exact"/>
        <w:ind w:firstLine="560" w:firstLineChars="200"/>
        <w:rPr>
          <w:rFonts w:ascii="Times New Roman" w:hAnsi="Times New Roman" w:eastAsia="楷体_GB2312" w:cs="Times New Roman"/>
          <w:sz w:val="28"/>
          <w:szCs w:val="28"/>
        </w:rPr>
      </w:pPr>
      <w:r>
        <w:rPr>
          <w:rFonts w:ascii="Times New Roman" w:hAnsi="Times New Roman" w:eastAsia="楷体_GB2312" w:cs="Times New Roman"/>
          <w:sz w:val="28"/>
          <w:szCs w:val="28"/>
        </w:rPr>
        <w:t xml:space="preserve">仲裁庭认为，商业判断、职业操守和法律判断是三个范畴的问题，不宜混淆。是否加仓减仓、操作时机幅度等属于商业判断问题；是否勤勉尽职，是否挟利威迫等，属于职业操守问题；是否违反契约，违反哪一条契约，属于法律判断问题。仲裁庭只解决法律判断问题，不负责裁判商业判断和职业操守问题。仲裁庭立足合同和证据，结合证券投资基金的运作特点，认定减仓行为属于申请人依职权所为的商业判断，没有违反双方协议的具体条款；被申请人未能提供充分证据证明申请人的行为与客户解约、基金下跌存在因果关系，对其赔偿请求不予支持；但是申请人对其突然解除委托合同给被申请人造成的损失应予以赔偿。 </w:t>
      </w:r>
    </w:p>
    <w:p>
      <w:pPr>
        <w:spacing w:line="520" w:lineRule="exact"/>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一、案情回顾</w:t>
      </w:r>
    </w:p>
    <w:p>
      <w:pPr>
        <w:spacing w:line="520" w:lineRule="exact"/>
        <w:ind w:firstLine="560" w:firstLineChars="200"/>
        <w:rPr>
          <w:rFonts w:ascii="Times New Roman" w:hAnsi="Times New Roman"/>
          <w:sz w:val="28"/>
          <w:szCs w:val="28"/>
        </w:rPr>
      </w:pPr>
      <w:r>
        <w:rPr>
          <w:rFonts w:ascii="Times New Roman" w:hAnsi="Times New Roman"/>
          <w:sz w:val="28"/>
          <w:szCs w:val="28"/>
        </w:rPr>
        <w:t>2012年3月21日，申请人与被申请人签订了《证券自动化交易系统项目合作协议》（下称《合作协议》）、《基金管理委托协议》（下称《委托协议》）、《证券自动化交易系统项目合作协议的修改条款》（下称《修改条款》）。申请人声称，根据《合作协议》和《委托协议》，申请人以独立研发并具有完全知识产权的证券自动化交易系统对被申请人以基金形式筹集的资金进行投资管理，并收取投资管理费和基金收益提成。协议签订后，申请人尽职尽责管理被申请人一个股东基金，一个专户基金和二个信托产品。申请人运作的基金及信托产品均有较大盈利。但被申请人却违反合同的约定，自2013年8月开始拖欠申请人专户基金的管理费，经申请人多方交涉，于2014年1月补发完毕，而之后被申请人质疑申请人对基金的操作，并于2014年2月提出解除申请人的基金经理的操作权。而2014年4月和5月专户基金的管理费，及基金和信托产品的收益提成，至今仍未发放给申请人。被申请人拖欠管理费及收益提成的行为，违反双方协议的约定，已构成根本违约。申请人提出仲裁请求如下：</w:t>
      </w:r>
    </w:p>
    <w:p>
      <w:pPr>
        <w:spacing w:line="520" w:lineRule="exact"/>
        <w:ind w:firstLine="560" w:firstLineChars="200"/>
        <w:rPr>
          <w:rFonts w:ascii="Times New Roman" w:hAnsi="Times New Roman"/>
          <w:sz w:val="28"/>
          <w:szCs w:val="28"/>
        </w:rPr>
      </w:pPr>
      <w:r>
        <w:rPr>
          <w:rFonts w:ascii="Times New Roman" w:hAnsi="Times New Roman"/>
          <w:sz w:val="28"/>
          <w:szCs w:val="28"/>
        </w:rPr>
        <w:t>1．裁决被申请人支付申请人管理费及收益提成人民币1,808,693元及违约金（以上述金额为基数，按中国人民银行逾期付款利率计算，自申请之日起至清偿之日止）</w:t>
      </w:r>
      <w:r>
        <w:rPr>
          <w:rFonts w:hint="eastAsia" w:ascii="Times New Roman" w:hAnsi="Times New Roman"/>
          <w:sz w:val="28"/>
          <w:szCs w:val="28"/>
        </w:rPr>
        <w:t>；</w:t>
      </w:r>
    </w:p>
    <w:p>
      <w:pPr>
        <w:spacing w:line="520" w:lineRule="exact"/>
        <w:ind w:firstLine="560" w:firstLineChars="200"/>
        <w:rPr>
          <w:rFonts w:ascii="Times New Roman" w:hAnsi="Times New Roman"/>
          <w:sz w:val="28"/>
          <w:szCs w:val="28"/>
        </w:rPr>
      </w:pPr>
      <w:r>
        <w:rPr>
          <w:rFonts w:ascii="Times New Roman" w:hAnsi="Times New Roman"/>
          <w:sz w:val="28"/>
          <w:szCs w:val="28"/>
        </w:rPr>
        <w:t>2．由被申请人承担本案仲裁费用</w:t>
      </w:r>
      <w:r>
        <w:rPr>
          <w:rFonts w:hint="eastAsia" w:ascii="Times New Roman" w:hAnsi="Times New Roman"/>
          <w:sz w:val="28"/>
          <w:szCs w:val="28"/>
        </w:rPr>
        <w:t>；</w:t>
      </w:r>
    </w:p>
    <w:p>
      <w:pPr>
        <w:spacing w:line="520" w:lineRule="exact"/>
        <w:ind w:firstLine="560" w:firstLineChars="200"/>
        <w:rPr>
          <w:rFonts w:ascii="Times New Roman" w:hAnsi="Times New Roman"/>
          <w:sz w:val="28"/>
          <w:szCs w:val="28"/>
        </w:rPr>
      </w:pPr>
      <w:r>
        <w:rPr>
          <w:rFonts w:ascii="Times New Roman" w:hAnsi="Times New Roman"/>
          <w:sz w:val="28"/>
          <w:szCs w:val="28"/>
        </w:rPr>
        <w:t>3．由被申请人承担申请人的律师费人民币7万元。</w:t>
      </w:r>
    </w:p>
    <w:p>
      <w:pPr>
        <w:pStyle w:val="2"/>
        <w:spacing w:line="520" w:lineRule="exact"/>
        <w:ind w:left="0" w:leftChars="0" w:firstLine="560" w:firstLineChars="200"/>
        <w:rPr>
          <w:rFonts w:ascii="Times New Roman" w:hAnsi="Times New Roman"/>
          <w:sz w:val="28"/>
          <w:szCs w:val="28"/>
        </w:rPr>
      </w:pPr>
      <w:r>
        <w:rPr>
          <w:rFonts w:ascii="Times New Roman" w:hAnsi="Times New Roman"/>
          <w:sz w:val="28"/>
          <w:szCs w:val="28"/>
        </w:rPr>
        <w:t>被申请人提出，2014年1月20日至30日期间，申请人对其管理的产品（黄某某专户、股东基金、272信托产品）进行大幅减仓。三支产品的减仓幅度均超过了60%，由此产生的交易成本以及资金闲置成本高达人民币30余万，其减仓行为事先没有向被申请人履行报备或通知程序，更未得到被申请人授权，违反了双方协议的约定。2014年4月1日，被申请人通过对市场分析并与合作方沟通后，向申请人发出指令，要求其执行熔断机制安排，对黄某某专户基金进行减仓，但申请人拒绝执行上述指令，致使该专户基金账户净值大跌，造成被申请人损失为人民币703,100元，同时导致客户黄某某与被申请人解约，造成被申请人的损失为人民币5,188,200元。</w:t>
      </w:r>
    </w:p>
    <w:p>
      <w:pPr>
        <w:spacing w:line="520" w:lineRule="exact"/>
        <w:ind w:firstLine="560" w:firstLineChars="200"/>
        <w:rPr>
          <w:rFonts w:ascii="Times New Roman" w:hAnsi="Times New Roman"/>
          <w:sz w:val="28"/>
          <w:szCs w:val="28"/>
        </w:rPr>
      </w:pPr>
      <w:r>
        <w:rPr>
          <w:rFonts w:ascii="Times New Roman" w:hAnsi="Times New Roman"/>
          <w:sz w:val="28"/>
          <w:szCs w:val="28"/>
        </w:rPr>
        <w:t>2014年6月18日，申请人单方解除了双方签订的《合作协议》、《委托协议》及相关的补充协议，直接导致了证券自动化交易系统停止运作，被申请人不得不花费更高的人力、物力、时间成本对外招聘其他的基金管理人接替申请人基金管理人的职务。在此期间，相关的证券产品出现了管理空缺，严重影响了产品的正常运转，给被申请人造成了巨大的经济损失。</w:t>
      </w:r>
    </w:p>
    <w:p>
      <w:pPr>
        <w:spacing w:line="520" w:lineRule="exact"/>
        <w:ind w:firstLine="560" w:firstLineChars="200"/>
        <w:rPr>
          <w:rFonts w:ascii="Times New Roman" w:hAnsi="Times New Roman"/>
          <w:sz w:val="28"/>
          <w:szCs w:val="28"/>
        </w:rPr>
      </w:pPr>
      <w:r>
        <w:rPr>
          <w:rFonts w:ascii="Times New Roman" w:hAnsi="Times New Roman"/>
          <w:sz w:val="28"/>
          <w:szCs w:val="28"/>
        </w:rPr>
        <w:t>被申请人认为，申请人作为被申请人委托的基金经理，在收到被申请人的指令后应当无条件执行。申请人作为基金经理，应当遵守基金经理的执业操守，按照协议的约定履行勤勉工作的职责。但申请人未按照与被申请人签订的上述合作协议要求管理相关的基金产品，多次违约，极大地损害了被申请人的财产权益和商业信誉。</w:t>
      </w:r>
      <w:r>
        <w:rPr>
          <w:rFonts w:ascii="Times New Roman" w:hAnsi="Times New Roman"/>
          <w:bCs/>
          <w:sz w:val="28"/>
          <w:szCs w:val="28"/>
        </w:rPr>
        <w:t>被申请人于2014年10月8日提交了《仲裁反请求书》，提出反请求如下：</w:t>
      </w:r>
    </w:p>
    <w:p>
      <w:pPr>
        <w:spacing w:line="520" w:lineRule="exact"/>
        <w:ind w:firstLine="560" w:firstLineChars="200"/>
        <w:rPr>
          <w:rFonts w:ascii="Times New Roman" w:hAnsi="Times New Roman"/>
          <w:sz w:val="28"/>
          <w:szCs w:val="28"/>
        </w:rPr>
      </w:pPr>
      <w:r>
        <w:rPr>
          <w:rFonts w:ascii="Times New Roman" w:hAnsi="Times New Roman"/>
          <w:sz w:val="28"/>
          <w:szCs w:val="28"/>
        </w:rPr>
        <w:t>1．请求裁决申请人赔偿因其拒不执行被申请人指令导致客户因资金损失而解除与被申请人的管理协议，致使被申请人的损失共计人民币5,188,200元及至实际清偿全部款项之日止的利息（从提出仲裁反请求之日起按中国人民银行规定的同期同类贷款利率）；</w:t>
      </w:r>
    </w:p>
    <w:p>
      <w:pPr>
        <w:spacing w:line="520" w:lineRule="exact"/>
        <w:ind w:firstLine="560" w:firstLineChars="200"/>
        <w:rPr>
          <w:rFonts w:ascii="Times New Roman" w:hAnsi="Times New Roman"/>
          <w:sz w:val="28"/>
          <w:szCs w:val="28"/>
        </w:rPr>
      </w:pPr>
      <w:r>
        <w:rPr>
          <w:rFonts w:ascii="Times New Roman" w:hAnsi="Times New Roman"/>
          <w:sz w:val="28"/>
          <w:szCs w:val="28"/>
        </w:rPr>
        <w:t>2．请求裁决申请人赔偿因其拒不执行被申请人指令导致管理基金下跌造成的被申请人的实际损失人民币703,067.30元及至实际清偿全部款项之日止的利息（从提出仲裁反请求之日起按中国人民银行规定的同期同类贷款利率）；</w:t>
      </w:r>
    </w:p>
    <w:p>
      <w:pPr>
        <w:spacing w:line="520" w:lineRule="exact"/>
        <w:ind w:firstLine="560" w:firstLineChars="200"/>
        <w:rPr>
          <w:rFonts w:ascii="Times New Roman" w:hAnsi="Times New Roman"/>
          <w:sz w:val="28"/>
          <w:szCs w:val="28"/>
        </w:rPr>
      </w:pPr>
      <w:r>
        <w:rPr>
          <w:rFonts w:ascii="Times New Roman" w:hAnsi="Times New Roman"/>
          <w:sz w:val="28"/>
          <w:szCs w:val="28"/>
        </w:rPr>
        <w:t>3．请求裁决申请人赔偿其因违规减仓操作导致被申请人的损失人民币107,900元；</w:t>
      </w:r>
    </w:p>
    <w:p>
      <w:pPr>
        <w:spacing w:line="520" w:lineRule="exact"/>
        <w:ind w:firstLine="560" w:firstLineChars="200"/>
        <w:rPr>
          <w:rFonts w:ascii="Times New Roman" w:hAnsi="Times New Roman"/>
          <w:sz w:val="28"/>
          <w:szCs w:val="28"/>
        </w:rPr>
      </w:pPr>
      <w:r>
        <w:rPr>
          <w:rFonts w:ascii="Times New Roman" w:hAnsi="Times New Roman"/>
          <w:sz w:val="28"/>
          <w:szCs w:val="28"/>
        </w:rPr>
        <w:t>4．请求裁决申请人赔偿违约解除合同造成被申请人损失人民币49,700元；</w:t>
      </w:r>
    </w:p>
    <w:p>
      <w:pPr>
        <w:spacing w:line="520" w:lineRule="exact"/>
        <w:ind w:firstLine="560" w:firstLineChars="200"/>
        <w:rPr>
          <w:rFonts w:ascii="Times New Roman" w:hAnsi="Times New Roman"/>
          <w:sz w:val="28"/>
          <w:szCs w:val="28"/>
        </w:rPr>
      </w:pPr>
      <w:r>
        <w:rPr>
          <w:rFonts w:ascii="Times New Roman" w:hAnsi="Times New Roman"/>
          <w:sz w:val="28"/>
          <w:szCs w:val="28"/>
        </w:rPr>
        <w:t>5．请求裁决申请人赔偿被申请人支付的律师费、公证费等相关诉讼费用人民币90,000元（暂定）；</w:t>
      </w:r>
    </w:p>
    <w:p>
      <w:pPr>
        <w:spacing w:line="520" w:lineRule="exact"/>
        <w:ind w:firstLine="560" w:firstLineChars="200"/>
        <w:rPr>
          <w:rFonts w:ascii="Times New Roman" w:hAnsi="Times New Roman"/>
          <w:sz w:val="28"/>
          <w:szCs w:val="28"/>
        </w:rPr>
      </w:pPr>
      <w:r>
        <w:rPr>
          <w:rFonts w:ascii="Times New Roman" w:hAnsi="Times New Roman"/>
          <w:sz w:val="28"/>
          <w:szCs w:val="28"/>
        </w:rPr>
        <w:t>6．申请人承担本案全部仲裁费用。</w:t>
      </w:r>
    </w:p>
    <w:p>
      <w:pPr>
        <w:spacing w:line="520" w:lineRule="exact"/>
        <w:ind w:firstLine="562"/>
        <w:rPr>
          <w:rFonts w:ascii="Times New Roman" w:hAnsi="Times New Roman"/>
          <w:b/>
          <w:sz w:val="28"/>
          <w:szCs w:val="28"/>
        </w:rPr>
      </w:pPr>
    </w:p>
    <w:p>
      <w:pPr>
        <w:spacing w:line="520" w:lineRule="exact"/>
        <w:rPr>
          <w:rFonts w:ascii="Times New Roman" w:hAnsi="Times New Roman"/>
          <w:sz w:val="28"/>
          <w:szCs w:val="28"/>
        </w:rPr>
      </w:pPr>
      <w:r>
        <w:rPr>
          <w:rFonts w:ascii="Times New Roman" w:hAnsi="Times New Roman"/>
          <w:b/>
          <w:sz w:val="28"/>
          <w:szCs w:val="28"/>
        </w:rPr>
        <w:t>二、双方观点</w:t>
      </w:r>
    </w:p>
    <w:p>
      <w:pPr>
        <w:numPr>
          <w:ilvl w:val="0"/>
          <w:numId w:val="1"/>
        </w:numPr>
        <w:spacing w:line="520" w:lineRule="exact"/>
        <w:rPr>
          <w:rFonts w:ascii="Times New Roman" w:hAnsi="Times New Roman"/>
          <w:b/>
          <w:bCs/>
          <w:sz w:val="28"/>
          <w:szCs w:val="28"/>
        </w:rPr>
      </w:pPr>
      <w:r>
        <w:rPr>
          <w:rFonts w:ascii="Times New Roman" w:hAnsi="Times New Roman"/>
          <w:b/>
          <w:bCs/>
          <w:sz w:val="28"/>
          <w:szCs w:val="28"/>
        </w:rPr>
        <w:t>申请人的观点</w:t>
      </w:r>
    </w:p>
    <w:p>
      <w:pPr>
        <w:spacing w:line="520" w:lineRule="exact"/>
        <w:ind w:firstLine="420" w:firstLineChars="150"/>
        <w:rPr>
          <w:rFonts w:ascii="Times New Roman" w:hAnsi="Times New Roman"/>
          <w:sz w:val="28"/>
          <w:szCs w:val="28"/>
        </w:rPr>
      </w:pPr>
      <w:r>
        <w:rPr>
          <w:rFonts w:hint="eastAsia" w:ascii="Times New Roman" w:hAnsi="Times New Roman"/>
          <w:sz w:val="28"/>
          <w:szCs w:val="28"/>
        </w:rPr>
        <w:t xml:space="preserve">1. </w:t>
      </w:r>
      <w:r>
        <w:rPr>
          <w:rFonts w:ascii="Times New Roman" w:hAnsi="Times New Roman"/>
          <w:sz w:val="28"/>
          <w:szCs w:val="28"/>
        </w:rPr>
        <w:t>申请人不存在拒不执行被申请人指令的事实，经过沟通后，被申请人已不再要求减仓。</w:t>
      </w:r>
    </w:p>
    <w:p>
      <w:pPr>
        <w:spacing w:line="520" w:lineRule="exact"/>
        <w:ind w:firstLine="420" w:firstLineChars="150"/>
        <w:rPr>
          <w:rFonts w:ascii="Times New Roman" w:hAnsi="Times New Roman"/>
          <w:sz w:val="28"/>
          <w:szCs w:val="28"/>
        </w:rPr>
      </w:pPr>
      <w:r>
        <w:rPr>
          <w:rFonts w:hint="eastAsia" w:ascii="Times New Roman" w:hAnsi="Times New Roman"/>
          <w:sz w:val="28"/>
          <w:szCs w:val="28"/>
        </w:rPr>
        <w:t xml:space="preserve">2. </w:t>
      </w:r>
      <w:r>
        <w:rPr>
          <w:rFonts w:ascii="Times New Roman" w:hAnsi="Times New Roman"/>
          <w:sz w:val="28"/>
          <w:szCs w:val="28"/>
        </w:rPr>
        <w:t>黄某某并没有因减仓一事与被申请人解除管理协议。黄某某只是对股市的大幅度波动有担心，要求全部平仓，暂时转由某证券公司代为进行短期理财产品投资，待日后大盘表现趋于稳定后再行入场。</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 xml:space="preserve">3. </w:t>
      </w:r>
      <w:r>
        <w:rPr>
          <w:rFonts w:ascii="Times New Roman" w:hAnsi="Times New Roman"/>
          <w:sz w:val="28"/>
          <w:szCs w:val="28"/>
        </w:rPr>
        <w:t>被申请人要求赔偿申请人所管理基金下跌的实际损失没有法律依据。根据《合作协议》，申请人负责投资管理，监控和调整基金的运作，而被申请人负责资金的募集。因此，被申请人无权随意要求申请人加仓或减仓，干涉申请人的管理工作。申请人管理的黄某某专户基金，自2013年3月21日启动到2014年5月平仓，整体还是赢利的。因此，不能截取中间某一阶段的数值来认定被申请人的损失。</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 xml:space="preserve">4. </w:t>
      </w:r>
      <w:r>
        <w:rPr>
          <w:rFonts w:ascii="Times New Roman" w:hAnsi="Times New Roman"/>
          <w:sz w:val="28"/>
          <w:szCs w:val="28"/>
        </w:rPr>
        <w:t>申请人不认可被申请人提出的赔偿所谓违规减仓操作导致的人民币107,900元损失的要求。申请人的投资操作、加仓减仓，均是申请人依协议约定的职责，不存在违规减仓的说法。申请人2014年1月的减仓操作并没有造成损失。</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 xml:space="preserve">5. </w:t>
      </w:r>
      <w:r>
        <w:rPr>
          <w:rFonts w:ascii="Times New Roman" w:hAnsi="Times New Roman"/>
          <w:sz w:val="28"/>
          <w:szCs w:val="28"/>
        </w:rPr>
        <w:t>由于被申请人一再违约，拖欠申请人的管理费，申请人才被迫解除合同，申请人解除合同是合法的，因此被申请人要求赔偿人民币49,700元的招聘基金经理的损失无法律依据，并且该损失也没有证据。</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 xml:space="preserve">6. </w:t>
      </w:r>
      <w:r>
        <w:rPr>
          <w:rFonts w:ascii="Times New Roman" w:hAnsi="Times New Roman"/>
          <w:sz w:val="28"/>
          <w:szCs w:val="28"/>
        </w:rPr>
        <w:t>申请人要求被申请人支付管理费与收益提成有合同依据，且欠款金额清楚。若被申请人不愿实事求是地承认，仲裁庭可委托专业人员对被申请人账册加以审计。</w:t>
      </w:r>
    </w:p>
    <w:p>
      <w:pPr>
        <w:spacing w:line="520" w:lineRule="exact"/>
        <w:ind w:firstLine="560" w:firstLineChars="200"/>
        <w:rPr>
          <w:rFonts w:ascii="Times New Roman" w:hAnsi="Times New Roman"/>
          <w:sz w:val="28"/>
          <w:szCs w:val="28"/>
        </w:rPr>
      </w:pPr>
      <w:r>
        <w:rPr>
          <w:rFonts w:hint="eastAsia" w:ascii="Times New Roman" w:hAnsi="Times New Roman"/>
          <w:sz w:val="28"/>
          <w:szCs w:val="28"/>
        </w:rPr>
        <w:t xml:space="preserve">7. </w:t>
      </w:r>
      <w:r>
        <w:rPr>
          <w:rFonts w:ascii="Times New Roman" w:hAnsi="Times New Roman"/>
          <w:sz w:val="28"/>
          <w:szCs w:val="28"/>
        </w:rPr>
        <w:t>申请人认为</w:t>
      </w:r>
      <w:r>
        <w:rPr>
          <w:rFonts w:hint="eastAsia" w:ascii="Times New Roman" w:hAnsi="Times New Roman"/>
          <w:sz w:val="28"/>
          <w:szCs w:val="28"/>
        </w:rPr>
        <w:t>某</w:t>
      </w:r>
      <w:r>
        <w:rPr>
          <w:rFonts w:ascii="Times New Roman" w:hAnsi="Times New Roman"/>
          <w:sz w:val="28"/>
          <w:szCs w:val="28"/>
        </w:rPr>
        <w:t>信托272号基金的清盘，不影响申请人的仲裁请求，理由为：申请人请求的标的为2014年6月30日之前</w:t>
      </w:r>
      <w:r>
        <w:rPr>
          <w:rFonts w:hint="eastAsia" w:ascii="Times New Roman" w:hAnsi="Times New Roman"/>
          <w:sz w:val="28"/>
          <w:szCs w:val="28"/>
        </w:rPr>
        <w:t>某</w:t>
      </w:r>
      <w:r>
        <w:rPr>
          <w:rFonts w:ascii="Times New Roman" w:hAnsi="Times New Roman"/>
          <w:sz w:val="28"/>
          <w:szCs w:val="28"/>
        </w:rPr>
        <w:t>信托272号基金的管理费与项目收益分配，此后该基金的盈亏与清盘与否，均与申请人无关。</w:t>
      </w:r>
    </w:p>
    <w:p>
      <w:pPr>
        <w:spacing w:line="520" w:lineRule="exact"/>
        <w:ind w:firstLine="560" w:firstLineChars="200"/>
        <w:rPr>
          <w:rFonts w:ascii="Times New Roman" w:hAnsi="Times New Roman"/>
          <w:sz w:val="28"/>
          <w:szCs w:val="28"/>
        </w:rPr>
      </w:pPr>
    </w:p>
    <w:p>
      <w:pPr>
        <w:spacing w:line="520" w:lineRule="exact"/>
        <w:ind w:firstLine="562" w:firstLineChars="200"/>
        <w:rPr>
          <w:rFonts w:ascii="Times New Roman" w:hAnsi="Times New Roman"/>
          <w:b/>
          <w:bCs/>
          <w:sz w:val="28"/>
          <w:szCs w:val="28"/>
        </w:rPr>
      </w:pPr>
      <w:r>
        <w:rPr>
          <w:rFonts w:ascii="Times New Roman" w:hAnsi="Times New Roman"/>
          <w:b/>
          <w:bCs/>
          <w:sz w:val="28"/>
          <w:szCs w:val="28"/>
        </w:rPr>
        <w:t>（二）被申请人的观点</w:t>
      </w:r>
    </w:p>
    <w:p>
      <w:pPr>
        <w:spacing w:line="520" w:lineRule="exact"/>
        <w:ind w:firstLine="560" w:firstLineChars="200"/>
        <w:rPr>
          <w:rFonts w:ascii="Times New Roman" w:hAnsi="Times New Roman"/>
          <w:sz w:val="28"/>
          <w:szCs w:val="28"/>
        </w:rPr>
      </w:pPr>
      <w:r>
        <w:rPr>
          <w:rFonts w:ascii="Times New Roman" w:hAnsi="Times New Roman"/>
          <w:sz w:val="28"/>
          <w:szCs w:val="28"/>
        </w:rPr>
        <w:t>1. 本案没有进行专项审计的必要性。申请人与被申请人关于管理费的计算方式及基础数据基本一致，不存在重大的分歧；申请人完全清楚对被申请人运作的基金的财务情况，不存在审计的必要性。</w:t>
      </w:r>
    </w:p>
    <w:p>
      <w:pPr>
        <w:spacing w:line="520" w:lineRule="exact"/>
        <w:ind w:firstLine="560" w:firstLineChars="200"/>
        <w:rPr>
          <w:rFonts w:ascii="Times New Roman" w:hAnsi="Times New Roman"/>
          <w:sz w:val="28"/>
          <w:szCs w:val="28"/>
        </w:rPr>
      </w:pPr>
      <w:r>
        <w:rPr>
          <w:rFonts w:ascii="Times New Roman" w:hAnsi="Times New Roman"/>
          <w:sz w:val="28"/>
          <w:szCs w:val="28"/>
        </w:rPr>
        <w:t>2． 申请人在担任被申请人基金经理期间，违约减仓，存在严重的过错，并单方违约解除合同，故其要求被申请人支付管理费及收益提成，没有任何事实依据。</w:t>
      </w:r>
    </w:p>
    <w:p>
      <w:pPr>
        <w:spacing w:line="520" w:lineRule="exact"/>
        <w:ind w:firstLine="560" w:firstLineChars="200"/>
        <w:rPr>
          <w:rFonts w:ascii="Times New Roman" w:hAnsi="Times New Roman"/>
          <w:sz w:val="28"/>
          <w:szCs w:val="28"/>
        </w:rPr>
      </w:pPr>
      <w:r>
        <w:rPr>
          <w:rFonts w:ascii="Times New Roman" w:hAnsi="Times New Roman"/>
          <w:sz w:val="28"/>
          <w:szCs w:val="28"/>
        </w:rPr>
        <w:t>3．申请人要求支付管理费和收益分成没有合同依据。申请人在管理受托事务期间，存在多次的重大违约行为，依法不享有合同的单方解除权。其违法解除合同的行为，直接导致了其管理的基金产品陷入无人管理的状态，也从根本上破坏了其取得报酬和收益的前提和根基。此外，申请人主张的支付收益未能满足合同约定的条件。合同中约定是以产品的一个完整的会计年度（即2014年12月31日）产品净值取得的收益扣除一年发生的成本费用后才计算分成。申请人在完全没有参与2014全年度基金管理的情况下，在产品无法确认是正收益的情况下，要求被申请人预先支付收益分成是不合理的。</w:t>
      </w:r>
    </w:p>
    <w:p>
      <w:pPr>
        <w:pStyle w:val="8"/>
        <w:numPr>
          <w:ilvl w:val="0"/>
          <w:numId w:val="2"/>
        </w:numPr>
        <w:spacing w:line="520" w:lineRule="exact"/>
        <w:ind w:firstLine="480" w:firstLineChars="0"/>
        <w:rPr>
          <w:rFonts w:ascii="Times New Roman" w:hAnsi="Times New Roman"/>
          <w:sz w:val="28"/>
          <w:szCs w:val="28"/>
        </w:rPr>
      </w:pPr>
      <w:r>
        <w:rPr>
          <w:rFonts w:ascii="Times New Roman" w:hAnsi="Times New Roman"/>
          <w:sz w:val="28"/>
          <w:szCs w:val="28"/>
        </w:rPr>
        <w:t>申请人列明的数据不真实，并且对于被申请人代扣代缴的税费没有列</w:t>
      </w:r>
    </w:p>
    <w:p>
      <w:pPr>
        <w:pStyle w:val="8"/>
        <w:numPr>
          <w:ilvl w:val="0"/>
          <w:numId w:val="2"/>
        </w:numPr>
        <w:spacing w:line="520" w:lineRule="exact"/>
        <w:ind w:firstLine="480" w:firstLineChars="0"/>
        <w:rPr>
          <w:rFonts w:ascii="Times New Roman" w:hAnsi="Times New Roman"/>
          <w:sz w:val="28"/>
          <w:szCs w:val="28"/>
        </w:rPr>
      </w:pPr>
      <w:r>
        <w:rPr>
          <w:rFonts w:ascii="Times New Roman" w:hAnsi="Times New Roman"/>
          <w:sz w:val="28"/>
          <w:szCs w:val="28"/>
        </w:rPr>
        <w:t>申请人的重大过错给被申请人造成了损失，依法应当承担全部赔偿责任。</w:t>
      </w:r>
    </w:p>
    <w:p>
      <w:pPr>
        <w:pStyle w:val="8"/>
        <w:numPr>
          <w:ilvl w:val="0"/>
          <w:numId w:val="2"/>
        </w:numPr>
        <w:spacing w:line="520" w:lineRule="exact"/>
        <w:ind w:firstLine="480" w:firstLineChars="0"/>
        <w:rPr>
          <w:rFonts w:ascii="Times New Roman" w:hAnsi="Times New Roman"/>
          <w:sz w:val="28"/>
          <w:szCs w:val="28"/>
        </w:rPr>
      </w:pPr>
      <w:r>
        <w:rPr>
          <w:rFonts w:ascii="Times New Roman" w:hAnsi="Times New Roman"/>
          <w:sz w:val="28"/>
          <w:szCs w:val="28"/>
        </w:rPr>
        <w:t>被申请人因</w:t>
      </w:r>
      <w:r>
        <w:rPr>
          <w:rFonts w:hint="eastAsia" w:ascii="Times New Roman" w:hAnsi="Times New Roman"/>
          <w:sz w:val="28"/>
          <w:szCs w:val="28"/>
        </w:rPr>
        <w:t>某</w:t>
      </w:r>
      <w:r>
        <w:rPr>
          <w:rFonts w:ascii="Times New Roman" w:hAnsi="Times New Roman"/>
          <w:sz w:val="28"/>
          <w:szCs w:val="28"/>
        </w:rPr>
        <w:t>信托287号产品提前清盘，依据《合作协议》</w:t>
      </w:r>
      <w:r>
        <w:rPr>
          <w:rFonts w:hint="eastAsia" w:ascii="Times New Roman" w:hAnsi="Times New Roman"/>
          <w:sz w:val="28"/>
          <w:szCs w:val="28"/>
        </w:rPr>
        <w:t>第</w:t>
      </w:r>
      <w:r>
        <w:rPr>
          <w:rFonts w:ascii="Times New Roman" w:hAnsi="Times New Roman"/>
          <w:sz w:val="28"/>
          <w:szCs w:val="28"/>
        </w:rPr>
        <w:t>5.2.1条向仲裁庭提出了中止审理，待产品清算后再审理裁决的请求。</w:t>
      </w:r>
    </w:p>
    <w:p>
      <w:pPr>
        <w:spacing w:line="520" w:lineRule="exact"/>
        <w:ind w:firstLine="560" w:firstLineChars="200"/>
        <w:rPr>
          <w:rFonts w:ascii="Times New Roman" w:hAnsi="Times New Roman"/>
          <w:bCs/>
          <w:sz w:val="28"/>
          <w:szCs w:val="28"/>
        </w:rPr>
      </w:pPr>
    </w:p>
    <w:p>
      <w:pPr>
        <w:autoSpaceDE w:val="0"/>
        <w:autoSpaceDN w:val="0"/>
        <w:adjustRightInd w:val="0"/>
        <w:snapToGrid w:val="0"/>
        <w:spacing w:line="520" w:lineRule="exact"/>
        <w:jc w:val="left"/>
        <w:rPr>
          <w:rFonts w:ascii="Times New Roman" w:hAnsi="Times New Roman"/>
          <w:b/>
          <w:sz w:val="28"/>
          <w:szCs w:val="28"/>
        </w:rPr>
      </w:pPr>
      <w:r>
        <w:rPr>
          <w:rFonts w:ascii="Times New Roman" w:hAnsi="Times New Roman"/>
          <w:b/>
          <w:sz w:val="28"/>
          <w:szCs w:val="28"/>
        </w:rPr>
        <w:t>三、仲裁庭意见</w:t>
      </w:r>
    </w:p>
    <w:p>
      <w:pPr>
        <w:spacing w:line="520" w:lineRule="exact"/>
        <w:ind w:firstLine="562" w:firstLineChars="200"/>
        <w:rPr>
          <w:rFonts w:ascii="Times New Roman" w:hAnsi="Times New Roman"/>
          <w:b/>
          <w:sz w:val="28"/>
          <w:szCs w:val="28"/>
        </w:rPr>
      </w:pPr>
      <w:r>
        <w:rPr>
          <w:rFonts w:ascii="Times New Roman" w:hAnsi="Times New Roman"/>
          <w:b/>
          <w:sz w:val="28"/>
          <w:szCs w:val="28"/>
        </w:rPr>
        <w:t>（一）仲裁庭查明的事实</w:t>
      </w:r>
    </w:p>
    <w:p>
      <w:pPr>
        <w:spacing w:line="520" w:lineRule="exact"/>
        <w:ind w:firstLine="560" w:firstLineChars="200"/>
        <w:rPr>
          <w:rFonts w:ascii="Times New Roman" w:hAnsi="Times New Roman"/>
          <w:sz w:val="28"/>
          <w:szCs w:val="28"/>
        </w:rPr>
      </w:pPr>
      <w:r>
        <w:rPr>
          <w:rFonts w:ascii="Times New Roman" w:hAnsi="Times New Roman"/>
          <w:sz w:val="28"/>
          <w:szCs w:val="28"/>
        </w:rPr>
        <w:t>根据当事人提交的证据材料、质证意见、庭审时当事人的陈述，仲裁庭查明以下与本案争议有关的，双方当事人无争议的基本事实：</w:t>
      </w:r>
    </w:p>
    <w:p>
      <w:pPr>
        <w:spacing w:line="520" w:lineRule="exact"/>
        <w:ind w:firstLine="630" w:firstLineChars="225"/>
        <w:rPr>
          <w:rFonts w:ascii="Times New Roman" w:hAnsi="Times New Roman"/>
          <w:sz w:val="28"/>
          <w:szCs w:val="28"/>
        </w:rPr>
      </w:pPr>
      <w:r>
        <w:rPr>
          <w:rFonts w:ascii="Times New Roman" w:hAnsi="Times New Roman"/>
          <w:sz w:val="28"/>
          <w:szCs w:val="28"/>
        </w:rPr>
        <w:t>1．2012年3月21日，申请人与被申请人签订了《合作协议》、《修改条款》和《委托协议》三份合同，明确约定下述事项：</w:t>
      </w:r>
    </w:p>
    <w:p>
      <w:pPr>
        <w:spacing w:line="520" w:lineRule="exact"/>
        <w:ind w:firstLine="560" w:firstLineChars="200"/>
        <w:rPr>
          <w:rFonts w:ascii="Times New Roman" w:hAnsi="Times New Roman"/>
          <w:sz w:val="28"/>
          <w:szCs w:val="28"/>
        </w:rPr>
      </w:pPr>
      <w:r>
        <w:rPr>
          <w:rFonts w:ascii="Times New Roman" w:hAnsi="Times New Roman"/>
          <w:sz w:val="28"/>
          <w:szCs w:val="28"/>
        </w:rPr>
        <w:t>《合作协议》第1.8条约定项目收益等于第1.5条定义的基金收益提成，加上第1.6条定义的基金管理费，减去第1.7条定义的支出。这是本案争议收益提成和管理费的基本计算公式。</w:t>
      </w:r>
    </w:p>
    <w:p>
      <w:pPr>
        <w:spacing w:line="520" w:lineRule="exact"/>
        <w:ind w:firstLine="560" w:firstLineChars="200"/>
        <w:rPr>
          <w:rFonts w:ascii="Times New Roman" w:hAnsi="Times New Roman"/>
          <w:sz w:val="28"/>
          <w:szCs w:val="28"/>
        </w:rPr>
      </w:pPr>
      <w:r>
        <w:rPr>
          <w:rFonts w:ascii="Times New Roman" w:hAnsi="Times New Roman"/>
          <w:sz w:val="28"/>
          <w:szCs w:val="28"/>
        </w:rPr>
        <w:t>《合作协议》第2.1条约定乙方（申请人）作为甲方（被申请人）在本项目中的主要管理成员，负责项目投资管理的主要工作。</w:t>
      </w:r>
    </w:p>
    <w:p>
      <w:pPr>
        <w:spacing w:line="520" w:lineRule="exact"/>
        <w:ind w:firstLine="560" w:firstLineChars="200"/>
        <w:rPr>
          <w:rFonts w:ascii="Times New Roman" w:hAnsi="Times New Roman"/>
          <w:sz w:val="28"/>
          <w:szCs w:val="28"/>
        </w:rPr>
      </w:pPr>
      <w:r>
        <w:rPr>
          <w:rFonts w:ascii="Times New Roman" w:hAnsi="Times New Roman"/>
          <w:sz w:val="28"/>
          <w:szCs w:val="28"/>
        </w:rPr>
        <w:t>《合作协议》第4.4条约定，乙方（申请人）在负责项目投资的主要管理工作时，应勤勉工作，认真负责，在涉及项目投资的重大事项上应与甲方（被申请人）其他主要管理人员共同协商后方做决定。</w:t>
      </w:r>
    </w:p>
    <w:p>
      <w:pPr>
        <w:spacing w:line="520" w:lineRule="exact"/>
        <w:ind w:firstLine="560" w:firstLineChars="200"/>
        <w:rPr>
          <w:rFonts w:ascii="Times New Roman" w:hAnsi="Times New Roman"/>
          <w:sz w:val="28"/>
          <w:szCs w:val="28"/>
        </w:rPr>
      </w:pPr>
      <w:r>
        <w:rPr>
          <w:rFonts w:ascii="Times New Roman" w:hAnsi="Times New Roman"/>
          <w:sz w:val="28"/>
          <w:szCs w:val="28"/>
        </w:rPr>
        <w:t>《修改条款》第1.4条约定，甲方（被申请人）基金的分阶段收益和收益率的计算和频率，以基金与其所托管的券商或银行达成的协议为准。</w:t>
      </w:r>
    </w:p>
    <w:p>
      <w:pPr>
        <w:spacing w:line="520" w:lineRule="exact"/>
        <w:ind w:firstLine="560" w:firstLineChars="200"/>
        <w:rPr>
          <w:rFonts w:ascii="Times New Roman" w:hAnsi="Times New Roman"/>
          <w:sz w:val="28"/>
          <w:szCs w:val="28"/>
        </w:rPr>
      </w:pPr>
      <w:r>
        <w:rPr>
          <w:rFonts w:ascii="Times New Roman" w:hAnsi="Times New Roman"/>
          <w:sz w:val="28"/>
          <w:szCs w:val="28"/>
        </w:rPr>
        <w:t>2. 《合作协议》生效之后，被申请人委托申请人实际管理四个基金，起始时间分别为：</w:t>
      </w:r>
    </w:p>
    <w:p>
      <w:pPr>
        <w:spacing w:line="520" w:lineRule="exact"/>
        <w:ind w:firstLine="560" w:firstLineChars="200"/>
        <w:rPr>
          <w:rFonts w:ascii="Times New Roman" w:hAnsi="Times New Roman"/>
          <w:sz w:val="28"/>
          <w:szCs w:val="28"/>
        </w:rPr>
      </w:pPr>
      <w:r>
        <w:rPr>
          <w:rFonts w:ascii="Times New Roman" w:hAnsi="Times New Roman"/>
          <w:sz w:val="28"/>
          <w:szCs w:val="28"/>
        </w:rPr>
        <w:t>黄某某专户基金，自2013年3月21日开始，合同期为一年，但实际终止于2014年6月30日申请人解除合同时。</w:t>
      </w:r>
    </w:p>
    <w:p>
      <w:pPr>
        <w:spacing w:line="520" w:lineRule="exact"/>
        <w:ind w:firstLine="560" w:firstLineChars="200"/>
        <w:rPr>
          <w:rFonts w:ascii="Times New Roman" w:hAnsi="Times New Roman"/>
          <w:sz w:val="28"/>
          <w:szCs w:val="28"/>
        </w:rPr>
      </w:pPr>
      <w:r>
        <w:rPr>
          <w:rFonts w:ascii="Times New Roman" w:hAnsi="Times New Roman"/>
          <w:sz w:val="28"/>
          <w:szCs w:val="28"/>
        </w:rPr>
        <w:t>某信托272基金，自2013年8月31日开始，终于2014年6月30日。</w:t>
      </w:r>
    </w:p>
    <w:p>
      <w:pPr>
        <w:spacing w:line="520" w:lineRule="exact"/>
        <w:ind w:firstLine="560" w:firstLineChars="200"/>
        <w:rPr>
          <w:rFonts w:ascii="Times New Roman" w:hAnsi="Times New Roman"/>
          <w:sz w:val="28"/>
          <w:szCs w:val="28"/>
        </w:rPr>
      </w:pPr>
      <w:r>
        <w:rPr>
          <w:rFonts w:ascii="Times New Roman" w:hAnsi="Times New Roman"/>
          <w:sz w:val="28"/>
          <w:szCs w:val="28"/>
        </w:rPr>
        <w:t>某信托287基金自2014年3月31日开始，终于2014年6月30日。</w:t>
      </w:r>
    </w:p>
    <w:p>
      <w:pPr>
        <w:spacing w:line="520" w:lineRule="exact"/>
        <w:ind w:firstLine="560" w:firstLineChars="200"/>
        <w:rPr>
          <w:rFonts w:ascii="Times New Roman" w:hAnsi="Times New Roman"/>
          <w:sz w:val="28"/>
          <w:szCs w:val="28"/>
        </w:rPr>
      </w:pPr>
      <w:r>
        <w:rPr>
          <w:rFonts w:ascii="Times New Roman" w:hAnsi="Times New Roman"/>
          <w:sz w:val="28"/>
          <w:szCs w:val="28"/>
        </w:rPr>
        <w:t>被申请人股东基金自2012年11月23日开始，终于2014年6月30日。</w:t>
      </w:r>
    </w:p>
    <w:p>
      <w:pPr>
        <w:spacing w:line="520" w:lineRule="exact"/>
        <w:ind w:firstLine="560" w:firstLineChars="200"/>
        <w:rPr>
          <w:rFonts w:ascii="Times New Roman" w:hAnsi="Times New Roman"/>
          <w:sz w:val="28"/>
          <w:szCs w:val="28"/>
        </w:rPr>
      </w:pPr>
      <w:r>
        <w:rPr>
          <w:rFonts w:ascii="Times New Roman" w:hAnsi="Times New Roman"/>
          <w:sz w:val="28"/>
          <w:szCs w:val="28"/>
        </w:rPr>
        <w:t>3.  被申请人已依约向申请人支付的管理费包括：黄某某专户基金在2014年1—3月份的管理费，某272信托产品1—5月份的管理费，股东基金1—5月份的管理费。</w:t>
      </w:r>
    </w:p>
    <w:p>
      <w:pPr>
        <w:spacing w:line="520" w:lineRule="exact"/>
        <w:ind w:firstLine="560" w:firstLineChars="200"/>
        <w:rPr>
          <w:rFonts w:ascii="Times New Roman" w:hAnsi="Times New Roman"/>
          <w:sz w:val="28"/>
          <w:szCs w:val="28"/>
        </w:rPr>
      </w:pPr>
      <w:r>
        <w:rPr>
          <w:rFonts w:ascii="Times New Roman" w:hAnsi="Times New Roman"/>
          <w:sz w:val="28"/>
          <w:szCs w:val="28"/>
        </w:rPr>
        <w:t>被申请人已从托管方收到某信托272号截止2014年2月的收益提成为人民币2,009,140元，管理费为人民币451,293.54元。被申请人已从托管方收到黄某某专户截止到2014年3月的项目收益为人民币2,790,979.96元。</w:t>
      </w:r>
    </w:p>
    <w:p>
      <w:pPr>
        <w:spacing w:line="520" w:lineRule="exact"/>
        <w:ind w:firstLine="560" w:firstLineChars="200"/>
        <w:rPr>
          <w:rFonts w:ascii="Times New Roman" w:hAnsi="Times New Roman"/>
          <w:sz w:val="28"/>
          <w:szCs w:val="28"/>
        </w:rPr>
      </w:pPr>
      <w:r>
        <w:rPr>
          <w:rFonts w:ascii="Times New Roman" w:hAnsi="Times New Roman"/>
          <w:sz w:val="28"/>
          <w:szCs w:val="28"/>
        </w:rPr>
        <w:t>对于争讼标的，双方认可合作协议定义下的项目开支为人民币108,301元，包括差旅费人民币58,301元，</w:t>
      </w:r>
      <w:bookmarkStart w:id="1" w:name="OLE_LINK1"/>
      <w:r>
        <w:rPr>
          <w:rFonts w:ascii="Times New Roman" w:hAnsi="Times New Roman"/>
          <w:sz w:val="28"/>
          <w:szCs w:val="28"/>
        </w:rPr>
        <w:t>万得数据</w:t>
      </w:r>
      <w:bookmarkEnd w:id="1"/>
      <w:r>
        <w:rPr>
          <w:rFonts w:ascii="Times New Roman" w:hAnsi="Times New Roman"/>
          <w:sz w:val="28"/>
          <w:szCs w:val="28"/>
        </w:rPr>
        <w:t>费用人民币20,000元，网络费用人民币30,000元。</w:t>
      </w:r>
    </w:p>
    <w:p>
      <w:pPr>
        <w:spacing w:line="520" w:lineRule="exact"/>
        <w:ind w:firstLine="560" w:firstLineChars="200"/>
        <w:rPr>
          <w:rFonts w:ascii="Times New Roman" w:hAnsi="Times New Roman"/>
          <w:sz w:val="28"/>
          <w:szCs w:val="28"/>
        </w:rPr>
      </w:pPr>
    </w:p>
    <w:p>
      <w:pPr>
        <w:spacing w:line="520" w:lineRule="exact"/>
        <w:ind w:firstLine="562" w:firstLineChars="200"/>
        <w:rPr>
          <w:rFonts w:ascii="Times New Roman" w:hAnsi="Times New Roman"/>
          <w:b/>
          <w:sz w:val="28"/>
          <w:szCs w:val="28"/>
        </w:rPr>
      </w:pPr>
      <w:r>
        <w:rPr>
          <w:rFonts w:ascii="Times New Roman" w:hAnsi="Times New Roman"/>
          <w:b/>
          <w:sz w:val="28"/>
          <w:szCs w:val="28"/>
        </w:rPr>
        <w:t>（二）关于解决本案争议所应适用的法律</w:t>
      </w:r>
    </w:p>
    <w:p>
      <w:pPr>
        <w:spacing w:line="520" w:lineRule="exact"/>
        <w:ind w:firstLine="560" w:firstLineChars="200"/>
        <w:rPr>
          <w:rFonts w:ascii="Times New Roman" w:hAnsi="Times New Roman"/>
          <w:sz w:val="28"/>
          <w:szCs w:val="28"/>
        </w:rPr>
      </w:pPr>
      <w:r>
        <w:rPr>
          <w:rFonts w:ascii="Times New Roman" w:hAnsi="Times New Roman"/>
          <w:sz w:val="28"/>
          <w:szCs w:val="28"/>
        </w:rPr>
        <w:t>本案《合作协议》和《委托协议》第7.1条均约定：“本协议适用中华人民共和国法律。”根据上述合同约定，解决本案争议所应适用的法律为中华人民共和国法律。</w:t>
      </w:r>
    </w:p>
    <w:p>
      <w:pPr>
        <w:spacing w:line="520" w:lineRule="exact"/>
        <w:ind w:firstLine="560" w:firstLineChars="200"/>
        <w:rPr>
          <w:rFonts w:ascii="Times New Roman" w:hAnsi="Times New Roman"/>
          <w:sz w:val="28"/>
          <w:szCs w:val="28"/>
        </w:rPr>
      </w:pPr>
    </w:p>
    <w:p>
      <w:pPr>
        <w:spacing w:line="520" w:lineRule="exact"/>
        <w:ind w:firstLine="562" w:firstLineChars="200"/>
        <w:rPr>
          <w:rFonts w:ascii="Times New Roman" w:hAnsi="Times New Roman"/>
          <w:b/>
          <w:sz w:val="28"/>
          <w:szCs w:val="28"/>
        </w:rPr>
      </w:pPr>
      <w:r>
        <w:rPr>
          <w:rFonts w:ascii="Times New Roman" w:hAnsi="Times New Roman"/>
          <w:b/>
          <w:sz w:val="28"/>
          <w:szCs w:val="28"/>
        </w:rPr>
        <w:t>（三）关于专项审计的问题</w:t>
      </w:r>
    </w:p>
    <w:p>
      <w:pPr>
        <w:spacing w:line="520" w:lineRule="exact"/>
        <w:ind w:firstLine="548" w:firstLineChars="196"/>
        <w:rPr>
          <w:rFonts w:ascii="Times New Roman" w:hAnsi="Times New Roman"/>
          <w:sz w:val="28"/>
          <w:szCs w:val="28"/>
        </w:rPr>
      </w:pPr>
      <w:r>
        <w:rPr>
          <w:rFonts w:ascii="Times New Roman" w:hAnsi="Times New Roman"/>
          <w:sz w:val="28"/>
          <w:szCs w:val="28"/>
        </w:rPr>
        <w:t>申请人申请仲裁庭委托专业人员对被申请人的财务账册进行审计，被申请人不认可。</w:t>
      </w:r>
    </w:p>
    <w:p>
      <w:pPr>
        <w:spacing w:line="520" w:lineRule="exact"/>
        <w:ind w:firstLine="548" w:firstLineChars="196"/>
        <w:rPr>
          <w:rFonts w:ascii="Times New Roman" w:hAnsi="Times New Roman"/>
          <w:sz w:val="28"/>
          <w:szCs w:val="28"/>
        </w:rPr>
      </w:pPr>
      <w:r>
        <w:rPr>
          <w:rFonts w:ascii="Times New Roman" w:hAnsi="Times New Roman"/>
          <w:sz w:val="28"/>
          <w:szCs w:val="28"/>
        </w:rPr>
        <w:t>仲裁庭认为，双方合作期间，证券自动化交易系统终端在申请人处，由申请人亲自操作，财务数据信息均保存在申请人系统中。在双方合作期间，被申请人按月向申请人发送管理费对账表，由申请人根据自己系统中的数据进行核对确认。因此，申请人能够提供基金的相关收益、费用及产品的运作情况。</w:t>
      </w:r>
    </w:p>
    <w:p>
      <w:pPr>
        <w:spacing w:line="520" w:lineRule="exact"/>
        <w:ind w:firstLine="548" w:firstLineChars="196"/>
        <w:rPr>
          <w:rFonts w:ascii="Times New Roman" w:hAnsi="Times New Roman"/>
          <w:sz w:val="28"/>
          <w:szCs w:val="28"/>
        </w:rPr>
      </w:pPr>
      <w:r>
        <w:rPr>
          <w:rFonts w:ascii="Times New Roman" w:hAnsi="Times New Roman"/>
          <w:sz w:val="28"/>
          <w:szCs w:val="28"/>
        </w:rPr>
        <w:t>关于收益和管理费的计算方式，合同有明确的计算依据，在庭审中，双方对成本、管理费的核算数额也基本一致。根据“谁主张，谁举证”的原则，申请人应就其仲裁请求自行取证，本案没有聘请专业人员进行专项审计的必要性。</w:t>
      </w:r>
    </w:p>
    <w:p>
      <w:pPr>
        <w:spacing w:line="520" w:lineRule="exact"/>
        <w:ind w:firstLine="548" w:firstLineChars="196"/>
        <w:rPr>
          <w:rFonts w:ascii="Times New Roman" w:hAnsi="Times New Roman"/>
          <w:sz w:val="28"/>
          <w:szCs w:val="28"/>
        </w:rPr>
      </w:pPr>
    </w:p>
    <w:p>
      <w:pPr>
        <w:spacing w:line="520" w:lineRule="exact"/>
        <w:ind w:firstLine="551" w:firstLineChars="196"/>
        <w:rPr>
          <w:rFonts w:ascii="Times New Roman" w:hAnsi="Times New Roman"/>
          <w:b/>
          <w:sz w:val="28"/>
          <w:szCs w:val="28"/>
        </w:rPr>
      </w:pPr>
      <w:r>
        <w:rPr>
          <w:rFonts w:ascii="Times New Roman" w:hAnsi="Times New Roman"/>
          <w:b/>
          <w:sz w:val="28"/>
          <w:szCs w:val="28"/>
        </w:rPr>
        <w:t>（四）关于被申请人提出中止审理的问题</w:t>
      </w:r>
    </w:p>
    <w:p>
      <w:pPr>
        <w:spacing w:line="520" w:lineRule="exact"/>
        <w:ind w:firstLine="548" w:firstLineChars="196"/>
        <w:rPr>
          <w:rFonts w:ascii="Times New Roman" w:hAnsi="Times New Roman"/>
          <w:sz w:val="28"/>
          <w:szCs w:val="28"/>
        </w:rPr>
      </w:pPr>
      <w:r>
        <w:rPr>
          <w:rFonts w:ascii="Times New Roman" w:hAnsi="Times New Roman"/>
          <w:sz w:val="28"/>
          <w:szCs w:val="28"/>
        </w:rPr>
        <w:t>2014年12月9日，仲裁庭收到被申请人提交的《中止审理申请书》。因仲裁争议所涉的某信托272基金产品在2014年11月28日开放日赎回后，只剩余人民币1,300余万份信托份额，根据被申请人与某国际信托股份有限公司签订的《信托合同》的约定，信托计划规模低于人民币3,000万元时，信托计划应提前终止。故被申请人提请中止审理，待某信托272号产品清算后，根据产品情况计算基金收益后再行审理。</w:t>
      </w:r>
    </w:p>
    <w:p>
      <w:pPr>
        <w:spacing w:line="520" w:lineRule="exact"/>
        <w:ind w:firstLine="548" w:firstLineChars="196"/>
        <w:rPr>
          <w:rFonts w:ascii="Times New Roman" w:hAnsi="Times New Roman"/>
          <w:sz w:val="28"/>
          <w:szCs w:val="28"/>
        </w:rPr>
      </w:pPr>
      <w:r>
        <w:rPr>
          <w:rFonts w:ascii="Times New Roman" w:hAnsi="Times New Roman"/>
          <w:sz w:val="28"/>
          <w:szCs w:val="28"/>
        </w:rPr>
        <w:t>仲裁庭认为，被申请人提出中止审理的理由不成立。理由如下：</w:t>
      </w:r>
    </w:p>
    <w:p>
      <w:pPr>
        <w:spacing w:line="520" w:lineRule="exact"/>
        <w:ind w:firstLine="548" w:firstLineChars="196"/>
        <w:rPr>
          <w:rFonts w:ascii="Times New Roman" w:hAnsi="Times New Roman"/>
          <w:sz w:val="28"/>
          <w:szCs w:val="28"/>
        </w:rPr>
      </w:pPr>
      <w:r>
        <w:rPr>
          <w:rFonts w:ascii="Times New Roman" w:hAnsi="Times New Roman"/>
          <w:sz w:val="28"/>
          <w:szCs w:val="28"/>
        </w:rPr>
        <w:t>1．本案所涉合同已于2014年6月30日解除，此后某信托272号产品已不归申请人管理。实践中，基金清盘原因多种多样，基金规模锐减的原因可能是人为因素（后续管理不善），也可能是市场因素（市场大涨，投资人赎回基金直接入市），还可能有信任和治理等其他方面的原因。现某信托272号产品清盘，被申请人未提供有效证据证明清盘与申请人行为的相关性，也未能有效说明与本案仲裁事项的重大利害关系。</w:t>
      </w:r>
    </w:p>
    <w:p>
      <w:pPr>
        <w:spacing w:line="520" w:lineRule="exact"/>
        <w:ind w:firstLine="548" w:firstLineChars="196"/>
        <w:rPr>
          <w:rFonts w:ascii="Times New Roman" w:hAnsi="Times New Roman"/>
          <w:sz w:val="28"/>
          <w:szCs w:val="28"/>
        </w:rPr>
      </w:pPr>
      <w:r>
        <w:rPr>
          <w:rFonts w:ascii="Times New Roman" w:hAnsi="Times New Roman"/>
          <w:sz w:val="28"/>
          <w:szCs w:val="28"/>
        </w:rPr>
        <w:t>2．根据《合作协议》第6.2条约定的特殊清算条款，双方协议终止时，如仍有基金在运作，协议第五条规定的分配方案仍然有效，即本案仲裁事项的清算时点应定为2014年6月30日双方解除合同时。此后涉案基金的管理和清算事项与申请人没有直接关系，与本案仲裁事项没有关联。</w:t>
      </w:r>
    </w:p>
    <w:p>
      <w:pPr>
        <w:pStyle w:val="2"/>
        <w:spacing w:line="520" w:lineRule="exact"/>
        <w:ind w:firstLine="560" w:firstLineChars="200"/>
        <w:rPr>
          <w:rFonts w:ascii="Times New Roman" w:hAnsi="Times New Roman"/>
          <w:sz w:val="28"/>
          <w:szCs w:val="28"/>
        </w:rPr>
      </w:pPr>
    </w:p>
    <w:p>
      <w:pPr>
        <w:pStyle w:val="2"/>
        <w:spacing w:line="520" w:lineRule="exact"/>
        <w:ind w:left="0" w:leftChars="0" w:firstLine="562" w:firstLineChars="200"/>
        <w:rPr>
          <w:rFonts w:ascii="Times New Roman" w:hAnsi="Times New Roman"/>
          <w:b/>
          <w:sz w:val="28"/>
          <w:szCs w:val="28"/>
        </w:rPr>
      </w:pPr>
      <w:r>
        <w:rPr>
          <w:rFonts w:ascii="Times New Roman" w:hAnsi="Times New Roman"/>
          <w:b/>
          <w:sz w:val="28"/>
          <w:szCs w:val="28"/>
        </w:rPr>
        <w:t>（五）关于申请人减仓行为是否构成违约的问题</w:t>
      </w:r>
    </w:p>
    <w:p>
      <w:pPr>
        <w:pStyle w:val="2"/>
        <w:spacing w:line="520" w:lineRule="exact"/>
        <w:ind w:left="0" w:leftChars="0" w:firstLine="560" w:firstLineChars="200"/>
        <w:rPr>
          <w:rFonts w:ascii="Times New Roman" w:hAnsi="Times New Roman"/>
          <w:sz w:val="28"/>
          <w:szCs w:val="28"/>
        </w:rPr>
      </w:pPr>
      <w:r>
        <w:rPr>
          <w:rFonts w:ascii="Times New Roman" w:hAnsi="Times New Roman"/>
          <w:sz w:val="28"/>
          <w:szCs w:val="28"/>
        </w:rPr>
        <w:t>申请人2014年1月和4月两次减仓行为是否构成违约，是本案争议的焦点之一。</w:t>
      </w:r>
    </w:p>
    <w:p>
      <w:pPr>
        <w:pStyle w:val="2"/>
        <w:spacing w:line="520" w:lineRule="exact"/>
        <w:ind w:left="0" w:leftChars="0" w:firstLine="560" w:firstLineChars="200"/>
        <w:rPr>
          <w:rFonts w:ascii="Times New Roman" w:hAnsi="Times New Roman"/>
          <w:sz w:val="28"/>
          <w:szCs w:val="28"/>
        </w:rPr>
      </w:pPr>
      <w:r>
        <w:rPr>
          <w:rFonts w:ascii="Times New Roman" w:hAnsi="Times New Roman"/>
          <w:sz w:val="28"/>
          <w:szCs w:val="28"/>
        </w:rPr>
        <w:t>仲裁庭认为，《合作协议》与《委托协议》对申请人与被申请人在基金管理中的分工有明确的安排，《合作协议》</w:t>
      </w:r>
      <w:r>
        <w:rPr>
          <w:rFonts w:hint="eastAsia" w:ascii="Times New Roman" w:hAnsi="Times New Roman"/>
          <w:sz w:val="28"/>
          <w:szCs w:val="28"/>
        </w:rPr>
        <w:t>第</w:t>
      </w:r>
      <w:r>
        <w:rPr>
          <w:rFonts w:ascii="Times New Roman" w:hAnsi="Times New Roman"/>
          <w:sz w:val="28"/>
          <w:szCs w:val="28"/>
        </w:rPr>
        <w:t>2.1条约定，被申请人利用自身优势及资源发行基金产品，并以基金管理人身份收取管理费与基金收益提成，申请人作为被申请人在项目中的主要管理成员，负责投资管理的主要工作。据此，双方另行签订了《委托协议》，被申请人委托申请人管理被申请人名下基金，且《委托协议》第2.1、2.2条明确约定，申请人有权下达对基金所有资金的操作指令，调整基金的操作策略，并没有具体的限制性条款。</w:t>
      </w:r>
    </w:p>
    <w:p>
      <w:pPr>
        <w:pStyle w:val="2"/>
        <w:spacing w:line="520" w:lineRule="exact"/>
        <w:ind w:left="0" w:leftChars="0" w:firstLine="560" w:firstLineChars="200"/>
        <w:rPr>
          <w:rFonts w:ascii="Times New Roman" w:hAnsi="Times New Roman"/>
          <w:sz w:val="28"/>
          <w:szCs w:val="28"/>
        </w:rPr>
      </w:pPr>
      <w:r>
        <w:rPr>
          <w:rFonts w:ascii="Times New Roman" w:hAnsi="Times New Roman"/>
          <w:sz w:val="28"/>
          <w:szCs w:val="28"/>
        </w:rPr>
        <w:t>据此，仲裁庭认为，双方系列协议确定的分工明确，被申请人负责利用渠道募集基金，申请人负责利用其自身研发的证券自动化交易系统（下称交易系统）从事具体投资工作，且拥有交易系统的最高操作权限。在2014年1月前，这样的操作状态是得到双方认同的。2014年1月后，因股东入股和减仓纠纷，被申请人多次发邮件要求限制申请人对基金的管理权限，其实质为提出修改合同管理权限分配的建议，但并没有得到申请人的认同。</w:t>
      </w:r>
    </w:p>
    <w:p>
      <w:pPr>
        <w:pStyle w:val="2"/>
        <w:spacing w:line="520" w:lineRule="exact"/>
        <w:ind w:left="0" w:leftChars="0" w:firstLine="560" w:firstLineChars="200"/>
        <w:rPr>
          <w:rFonts w:ascii="Times New Roman" w:hAnsi="Times New Roman"/>
          <w:sz w:val="28"/>
          <w:szCs w:val="28"/>
        </w:rPr>
      </w:pPr>
      <w:r>
        <w:rPr>
          <w:rFonts w:ascii="Times New Roman" w:hAnsi="Times New Roman"/>
          <w:sz w:val="28"/>
          <w:szCs w:val="28"/>
        </w:rPr>
        <w:t>申请人2014年1月和4月的减仓行为，仲裁庭认为不构成违约。理由如下：</w:t>
      </w:r>
    </w:p>
    <w:p>
      <w:pPr>
        <w:pStyle w:val="2"/>
        <w:spacing w:line="520" w:lineRule="exact"/>
        <w:ind w:left="0" w:leftChars="0" w:firstLine="560" w:firstLineChars="200"/>
        <w:rPr>
          <w:rFonts w:ascii="Times New Roman" w:hAnsi="Times New Roman"/>
          <w:sz w:val="28"/>
          <w:szCs w:val="28"/>
        </w:rPr>
      </w:pPr>
      <w:r>
        <w:rPr>
          <w:rFonts w:ascii="Times New Roman" w:hAnsi="Times New Roman"/>
          <w:sz w:val="28"/>
          <w:szCs w:val="28"/>
        </w:rPr>
        <w:t>1．依双方达成的《合作协议》和《委托协议》，减仓属于“下达对基金所有资金的操作指令，调整基金操作策略”的行为，在申请人的权限范围内。双方对减仓的时机、幅度、指令、程序、责任并没有其他更为详尽的约定。因此，申请人减仓行为即使时机、幅度有所不当，但始终是依职权所为的行为，不构成违约。</w:t>
      </w:r>
    </w:p>
    <w:p>
      <w:pPr>
        <w:pStyle w:val="2"/>
        <w:spacing w:line="520" w:lineRule="exact"/>
        <w:ind w:left="0" w:leftChars="0" w:firstLine="560" w:firstLineChars="200"/>
        <w:rPr>
          <w:rFonts w:ascii="Times New Roman" w:hAnsi="Times New Roman"/>
          <w:sz w:val="28"/>
          <w:szCs w:val="28"/>
        </w:rPr>
      </w:pPr>
      <w:r>
        <w:rPr>
          <w:rFonts w:ascii="Times New Roman" w:hAnsi="Times New Roman"/>
          <w:sz w:val="28"/>
          <w:szCs w:val="28"/>
        </w:rPr>
        <w:t>2．本案所涉的量化投资交易系统是专业性极强的证券交易系统，被申请人以优惠的条件礼聘申请人作为基金经理管理交易系统，体现了对申请人专业性和对交易系统掌控力的尊重。从双方关于减仓的往来邮件看，对于减仓行为申请人有其经济、市场、技术的逻辑判断，被申请人没有完全否定上述专业判断。至于被申请人提出的申请人因个人原因，以减仓行为要挟报复被申请人的意见，因证据不足，仲裁庭不予采信。</w:t>
      </w:r>
    </w:p>
    <w:p>
      <w:pPr>
        <w:pStyle w:val="2"/>
        <w:spacing w:line="520" w:lineRule="exact"/>
        <w:ind w:left="0" w:leftChars="0" w:firstLine="560" w:firstLineChars="200"/>
        <w:rPr>
          <w:rFonts w:ascii="Times New Roman" w:hAnsi="Times New Roman"/>
          <w:sz w:val="28"/>
          <w:szCs w:val="28"/>
        </w:rPr>
      </w:pPr>
      <w:r>
        <w:rPr>
          <w:rFonts w:ascii="Times New Roman" w:hAnsi="Times New Roman"/>
          <w:sz w:val="28"/>
          <w:szCs w:val="28"/>
        </w:rPr>
        <w:t>3．商业判断、职业操守和法律判断是三个范畴的问题，不宜混淆。是否加仓减仓、操作时机幅度等属于商业判断问题；是否勤勉尽职，是否挟利威迫等，属于职业操守问题；是否违反契约，违反哪一条契约，属于法律判断问题。仲裁庭只解决法律判断问题，不负责裁判商业判断和职业操守（道德）问题。</w:t>
      </w:r>
    </w:p>
    <w:p>
      <w:pPr>
        <w:pStyle w:val="2"/>
        <w:spacing w:line="520" w:lineRule="exact"/>
        <w:ind w:left="0" w:leftChars="0" w:firstLine="560" w:firstLineChars="200"/>
        <w:rPr>
          <w:rFonts w:ascii="Times New Roman" w:hAnsi="Times New Roman"/>
          <w:sz w:val="28"/>
          <w:szCs w:val="28"/>
        </w:rPr>
      </w:pPr>
      <w:r>
        <w:rPr>
          <w:rFonts w:ascii="Times New Roman" w:hAnsi="Times New Roman"/>
          <w:sz w:val="28"/>
          <w:szCs w:val="28"/>
        </w:rPr>
        <w:t>被申请人提出的其他违约情由，包括申请人在工作中多次泄露被申请人与合作方的商业秘密，未按照《委托协议》要求回国专职负责基金管理工作，未依约履行对被申请人的出资义务，通讯联络方式不畅通，未依法履行作为受托管理人的报告义务等，未提供可信服的证据支持，且申请人提出了相应抗辩，仲裁庭不予支持。</w:t>
      </w:r>
    </w:p>
    <w:p>
      <w:pPr>
        <w:pStyle w:val="2"/>
        <w:spacing w:line="520" w:lineRule="exact"/>
        <w:ind w:firstLine="560" w:firstLineChars="200"/>
        <w:rPr>
          <w:rFonts w:ascii="Times New Roman" w:hAnsi="Times New Roman"/>
          <w:sz w:val="28"/>
          <w:szCs w:val="28"/>
        </w:rPr>
      </w:pPr>
    </w:p>
    <w:p>
      <w:pPr>
        <w:pStyle w:val="2"/>
        <w:spacing w:line="520" w:lineRule="exact"/>
        <w:ind w:left="0" w:leftChars="0" w:firstLine="562" w:firstLineChars="200"/>
        <w:rPr>
          <w:rFonts w:ascii="Times New Roman" w:hAnsi="Times New Roman"/>
          <w:b/>
          <w:sz w:val="28"/>
          <w:szCs w:val="28"/>
        </w:rPr>
      </w:pPr>
      <w:r>
        <w:rPr>
          <w:rFonts w:ascii="Times New Roman" w:hAnsi="Times New Roman"/>
          <w:b/>
          <w:sz w:val="28"/>
          <w:szCs w:val="28"/>
        </w:rPr>
        <w:t>（六）关于仲裁请求之收益分成支付条件是否成就的问题</w:t>
      </w:r>
    </w:p>
    <w:p>
      <w:pPr>
        <w:pStyle w:val="2"/>
        <w:spacing w:line="520" w:lineRule="exact"/>
        <w:ind w:left="0" w:leftChars="0" w:firstLine="560" w:firstLineChars="200"/>
        <w:rPr>
          <w:rFonts w:ascii="Times New Roman" w:hAnsi="Times New Roman"/>
          <w:sz w:val="28"/>
          <w:szCs w:val="28"/>
        </w:rPr>
      </w:pPr>
      <w:r>
        <w:rPr>
          <w:rFonts w:ascii="Times New Roman" w:hAnsi="Times New Roman"/>
          <w:sz w:val="28"/>
          <w:szCs w:val="28"/>
        </w:rPr>
        <w:t>被申请人认为，申请人单方恶意撕毁合约，无权要求参与收益分成，且申请人主张的收益分成支付未能满足合同约定的条件，即以产品的一个完整会计年度（2014年1月1日至12月31日）产品净值取得的收益扣除一年发生的成本费用后才计算分成。在申请人未参加全年产品的管理且未知产品正收益与否的情况下，被申请人向申请人支付收益分成的条件未成就。</w:t>
      </w:r>
    </w:p>
    <w:p>
      <w:pPr>
        <w:pStyle w:val="2"/>
        <w:spacing w:line="520" w:lineRule="exact"/>
        <w:ind w:left="0" w:leftChars="0" w:firstLine="560" w:firstLineChars="200"/>
        <w:rPr>
          <w:rFonts w:ascii="Times New Roman" w:hAnsi="Times New Roman"/>
          <w:sz w:val="28"/>
          <w:szCs w:val="28"/>
        </w:rPr>
      </w:pPr>
      <w:r>
        <w:rPr>
          <w:rFonts w:ascii="Times New Roman" w:hAnsi="Times New Roman"/>
          <w:sz w:val="28"/>
          <w:szCs w:val="28"/>
        </w:rPr>
        <w:t>仲裁庭认为，《合作协议》第5.2条订有一般分配条款，将一般情况下双方收益分成的分配节点设置于会计年度终了之后，但《合作协议》第6.2条亦订有特殊清算条款，即</w:t>
      </w:r>
      <w:r>
        <w:rPr>
          <w:rFonts w:hint="eastAsia" w:ascii="Times New Roman" w:hAnsi="Times New Roman"/>
          <w:sz w:val="28"/>
          <w:szCs w:val="28"/>
        </w:rPr>
        <w:t>“</w:t>
      </w:r>
      <w:r>
        <w:rPr>
          <w:rFonts w:ascii="Times New Roman" w:hAnsi="Times New Roman"/>
          <w:sz w:val="28"/>
          <w:szCs w:val="28"/>
        </w:rPr>
        <w:t>本协议终止时，如仍有基金在运作，那么本协议第五条规定的分配方案仍然有效</w:t>
      </w:r>
      <w:r>
        <w:rPr>
          <w:rFonts w:hint="eastAsia" w:ascii="Times New Roman" w:hAnsi="Times New Roman"/>
          <w:sz w:val="28"/>
          <w:szCs w:val="28"/>
        </w:rPr>
        <w:t>”</w:t>
      </w:r>
      <w:r>
        <w:rPr>
          <w:rFonts w:ascii="Times New Roman" w:hAnsi="Times New Roman"/>
          <w:sz w:val="28"/>
          <w:szCs w:val="28"/>
        </w:rPr>
        <w:t>。因此，被申请人以未达到完整会计年度为由认为未达到收益分成支付条件的抗辩不能成立。申请人管理的四只基金：黄某某专户基金、某信托272基金、某信托287基金、被申请人股东基金均应以协议终止日，即2014年6月30日申请人解除合同之日进行清算。</w:t>
      </w:r>
    </w:p>
    <w:p>
      <w:pPr>
        <w:pStyle w:val="2"/>
        <w:spacing w:line="520" w:lineRule="exact"/>
        <w:ind w:firstLine="560" w:firstLineChars="200"/>
        <w:rPr>
          <w:rFonts w:ascii="Times New Roman" w:hAnsi="Times New Roman"/>
          <w:sz w:val="28"/>
          <w:szCs w:val="28"/>
        </w:rPr>
      </w:pPr>
    </w:p>
    <w:p>
      <w:pPr>
        <w:pStyle w:val="2"/>
        <w:spacing w:line="520" w:lineRule="exact"/>
        <w:ind w:left="0" w:leftChars="0" w:firstLine="562" w:firstLineChars="200"/>
        <w:rPr>
          <w:rFonts w:ascii="Times New Roman" w:hAnsi="Times New Roman"/>
          <w:b/>
          <w:sz w:val="28"/>
          <w:szCs w:val="28"/>
        </w:rPr>
      </w:pPr>
      <w:r>
        <w:rPr>
          <w:rFonts w:ascii="Times New Roman" w:hAnsi="Times New Roman"/>
          <w:b/>
          <w:sz w:val="28"/>
          <w:szCs w:val="28"/>
        </w:rPr>
        <w:t>（七）关于仲裁请求金额的问题</w:t>
      </w:r>
    </w:p>
    <w:p>
      <w:pPr>
        <w:pStyle w:val="2"/>
        <w:spacing w:line="520" w:lineRule="exact"/>
        <w:ind w:left="0" w:leftChars="0" w:firstLine="560" w:firstLineChars="200"/>
        <w:rPr>
          <w:rFonts w:ascii="Times New Roman" w:hAnsi="Times New Roman"/>
          <w:sz w:val="28"/>
          <w:szCs w:val="28"/>
        </w:rPr>
      </w:pPr>
      <w:r>
        <w:rPr>
          <w:rFonts w:ascii="Times New Roman" w:hAnsi="Times New Roman"/>
          <w:sz w:val="28"/>
          <w:szCs w:val="28"/>
        </w:rPr>
        <w:t>申请人所请求的未支付管理费与收益分成来自交易系统估算，期间发生多次变更，提起仲裁申请时为人民币1,725,284元，在11月21日庭审时变更为人民币1,773,693元，12月4日又变更为人民币1,808,693元。被申请人以基金产品未到清算期为由拒绝清算并支付。双方对仲裁请求金额存在较大分歧。</w:t>
      </w:r>
    </w:p>
    <w:p>
      <w:pPr>
        <w:pStyle w:val="2"/>
        <w:spacing w:line="520" w:lineRule="exact"/>
        <w:ind w:left="0" w:leftChars="0" w:firstLine="560" w:firstLineChars="200"/>
        <w:rPr>
          <w:rFonts w:ascii="Times New Roman" w:hAnsi="Times New Roman"/>
          <w:sz w:val="28"/>
          <w:szCs w:val="28"/>
        </w:rPr>
      </w:pPr>
      <w:r>
        <w:rPr>
          <w:rFonts w:ascii="Times New Roman" w:hAnsi="Times New Roman"/>
          <w:sz w:val="28"/>
          <w:szCs w:val="28"/>
        </w:rPr>
        <w:t>本案申请人管理的四只基金中，有明确证据支持未支付管理费与收益分成金额的只有黄某某专户基金和某信托272号基金。根据双方2014年3月18日、3月28日往来邮件，仲裁庭查明，被申请人已从托管方收到某信托272号截止2014年2月的收益提成为人民币2,009,140元，管理费为人民币451,293.54元。被申请人已从托管方收到黄某某专户截止到2014年3月的项目收益为人民币2,790,979.96元。在庭审中，被申请人亦表示认可申请人对管理费金额的估算，与被申请人匡算的金额差距不大。</w:t>
      </w:r>
    </w:p>
    <w:p>
      <w:pPr>
        <w:pStyle w:val="2"/>
        <w:spacing w:line="520" w:lineRule="exact"/>
        <w:ind w:left="0" w:leftChars="0" w:firstLine="560" w:firstLineChars="200"/>
        <w:rPr>
          <w:rFonts w:ascii="Times New Roman" w:hAnsi="Times New Roman"/>
          <w:sz w:val="28"/>
          <w:szCs w:val="28"/>
        </w:rPr>
      </w:pPr>
      <w:r>
        <w:rPr>
          <w:rFonts w:ascii="Times New Roman" w:hAnsi="Times New Roman"/>
          <w:sz w:val="28"/>
          <w:szCs w:val="28"/>
        </w:rPr>
        <w:t>根据《合作协议》第1.8条的约定，项目收益的计算基金收益提成加上基金管理费，减去协议项下的项目支出。这是本案争议收益提成和管理费的基本计算公式。根据仲裁庭查实的证据，项目收益为某信托272号的收益提成人民币2,009,140元以及管理费人民币451,294元，加上被申请人已从托管方收到黄某某专户截止到2014年3月的项目收益人民币2,790,980元，三者之和为人民币5,251,414元。再扣除被申请人2014年应该付给申请人的管理费人民币1,351,823元（含未支付管理费人民币354,541元）与双方认可的合作协议下的项目开支人民币108,301元，项目收益为人民币3,791,290元。</w:t>
      </w:r>
    </w:p>
    <w:p>
      <w:pPr>
        <w:pStyle w:val="2"/>
        <w:spacing w:line="520" w:lineRule="exact"/>
        <w:ind w:left="0" w:leftChars="0" w:firstLine="560" w:firstLineChars="200"/>
        <w:rPr>
          <w:rFonts w:ascii="Times New Roman" w:hAnsi="Times New Roman"/>
          <w:sz w:val="28"/>
          <w:szCs w:val="28"/>
        </w:rPr>
      </w:pPr>
      <w:r>
        <w:rPr>
          <w:rFonts w:ascii="Times New Roman" w:hAnsi="Times New Roman"/>
          <w:sz w:val="28"/>
          <w:szCs w:val="28"/>
        </w:rPr>
        <w:t>根据仲裁庭已查实的证据，被申请人应支付申请人的管理费与收益分成为未支付的管理费人民币354,541元（其中黄某某专户未支付管理费为179,040元，其他账户管理费为175,501元），加上项目净利润提成人民币3,791,290元的30%，总金额为人民币1,491,928元。</w:t>
      </w:r>
    </w:p>
    <w:p>
      <w:pPr>
        <w:pStyle w:val="2"/>
        <w:spacing w:line="520" w:lineRule="exact"/>
        <w:ind w:left="0" w:leftChars="0" w:firstLine="560" w:firstLineChars="200"/>
        <w:rPr>
          <w:rFonts w:ascii="Times New Roman" w:hAnsi="Times New Roman"/>
          <w:sz w:val="28"/>
          <w:szCs w:val="28"/>
        </w:rPr>
      </w:pPr>
      <w:r>
        <w:rPr>
          <w:rFonts w:ascii="Times New Roman" w:hAnsi="Times New Roman"/>
          <w:sz w:val="28"/>
          <w:szCs w:val="28"/>
        </w:rPr>
        <w:t>申请人提出的某信托287号基金和被申请人股东基金的收益分成金额，因没有直接证据支持，也未得到被申请人的确认，仲裁庭不予支持。</w:t>
      </w:r>
    </w:p>
    <w:p>
      <w:pPr>
        <w:pStyle w:val="2"/>
        <w:spacing w:line="520" w:lineRule="exact"/>
        <w:ind w:left="0" w:leftChars="0" w:firstLine="560" w:firstLineChars="200"/>
        <w:rPr>
          <w:rFonts w:ascii="Times New Roman" w:hAnsi="Times New Roman"/>
          <w:sz w:val="28"/>
          <w:szCs w:val="28"/>
        </w:rPr>
      </w:pPr>
      <w:r>
        <w:rPr>
          <w:rFonts w:ascii="Times New Roman" w:hAnsi="Times New Roman"/>
          <w:sz w:val="28"/>
          <w:szCs w:val="28"/>
        </w:rPr>
        <w:t>被申请人提出的代扣代缴申请人所得税的意见，根据双方《合作协议》第5.1条和《委托协议》第4.3条的约定，所得税事宜由申请人自理。</w:t>
      </w:r>
    </w:p>
    <w:p>
      <w:pPr>
        <w:pStyle w:val="2"/>
        <w:spacing w:line="520" w:lineRule="exact"/>
        <w:ind w:left="0" w:leftChars="0" w:firstLine="560" w:firstLineChars="200"/>
        <w:rPr>
          <w:rFonts w:ascii="Times New Roman" w:hAnsi="Times New Roman"/>
          <w:sz w:val="28"/>
          <w:szCs w:val="28"/>
        </w:rPr>
      </w:pPr>
    </w:p>
    <w:p>
      <w:pPr>
        <w:pStyle w:val="2"/>
        <w:spacing w:line="520" w:lineRule="exact"/>
        <w:ind w:left="0" w:leftChars="0" w:firstLine="562" w:firstLineChars="200"/>
        <w:rPr>
          <w:rFonts w:ascii="Times New Roman" w:hAnsi="Times New Roman"/>
          <w:b/>
          <w:sz w:val="28"/>
          <w:szCs w:val="28"/>
        </w:rPr>
      </w:pPr>
      <w:r>
        <w:rPr>
          <w:rFonts w:ascii="Times New Roman" w:hAnsi="Times New Roman"/>
          <w:b/>
          <w:sz w:val="28"/>
          <w:szCs w:val="28"/>
        </w:rPr>
        <w:t>（八）关于被申请人反请求的问题</w:t>
      </w:r>
    </w:p>
    <w:p>
      <w:pPr>
        <w:pStyle w:val="2"/>
        <w:spacing w:line="520" w:lineRule="exact"/>
        <w:ind w:left="0" w:leftChars="0" w:firstLine="560" w:firstLineChars="200"/>
        <w:rPr>
          <w:rFonts w:ascii="Times New Roman" w:hAnsi="Times New Roman"/>
          <w:sz w:val="28"/>
          <w:szCs w:val="28"/>
        </w:rPr>
      </w:pPr>
      <w:r>
        <w:rPr>
          <w:rFonts w:ascii="Times New Roman" w:hAnsi="Times New Roman"/>
          <w:sz w:val="28"/>
          <w:szCs w:val="28"/>
        </w:rPr>
        <w:t>关于第一项反请求，即请求裁决申请人赔偿因其拒不执行被申请人指令导致客户与被申请人解除管理协议造成的被申请人的损失及利息，仲裁庭认为被申请人必须证明申</w:t>
      </w:r>
      <w:r>
        <w:rPr>
          <w:rFonts w:ascii="Times New Roman" w:hAnsi="Times New Roman"/>
          <w:spacing w:val="-2"/>
          <w:sz w:val="28"/>
          <w:szCs w:val="28"/>
        </w:rPr>
        <w:t>请人违约事实和被申请人损害结果的存在，并且要举证二者间的因果关系。首先，对于违约事实，减仓行为属于申请人依职权所为的商业判断，没有违反双方协议的具体条款，不能判断违约事实的成立。其次，对于损害结果，被申请人认为是黄某某专户平仓将资金转出后其丧失的可预期管理费和收益分成损失，该损失超出申请人的合理预期范围。因黄某某与被申请人之间的基金管理契约已于2014年3月20日到期，黄某某专户虽到期后仍委托被申请人事实管理，但管理到何时，并没有明确预期，被申请人比照过往年化收益，将2014年3月23日至9月30日黄某某专户项目分成损失作为损害结果，没有契约和其他证据的支持。再次，被申请人并没有提出直接证据证明，申请人的违约事实是造成被申请人损失的主要原因。被申请人提出的某证券公司张某的书面证言，不能确定是否为张某本人所书，也不能证明黄某某专户平仓撤资的真实原因。据2014年4月29日被申请人代表李某某发给申请人的邮件显示，黄某某专户平仓行为是为了规避大盘短期可能的系统性风险，资金赎回后暂由某证券公司代为进行短期理财产品投资，待大盘趋于稳定后资金再行入场。因此，证明申请人行为与黄某某专户撤资后果间存在因果关系证据不足。综上，仲裁庭认为被申请人未能提供充分证据支持其第一项反请求。</w:t>
      </w:r>
    </w:p>
    <w:p>
      <w:pPr>
        <w:pStyle w:val="2"/>
        <w:spacing w:line="520" w:lineRule="exact"/>
        <w:ind w:left="0" w:leftChars="0" w:firstLine="560" w:firstLineChars="200"/>
        <w:rPr>
          <w:rFonts w:ascii="Times New Roman" w:hAnsi="Times New Roman"/>
          <w:sz w:val="28"/>
          <w:szCs w:val="28"/>
        </w:rPr>
      </w:pPr>
      <w:r>
        <w:rPr>
          <w:rFonts w:ascii="Times New Roman" w:hAnsi="Times New Roman"/>
          <w:sz w:val="28"/>
          <w:szCs w:val="28"/>
        </w:rPr>
        <w:t>关于第二项反请求，即请求裁决申请人赔偿因其拒不执行被申请人指令导致管理基金下跌造成的被申请人的实际损失及利息，被申请人提供的计算基础是2014年5月9日与2014年4月1日黄某某专户基金规模缩小所造成的管理费与收益分成损失，其实质是第一项反请求内容的一部分。仲裁庭关于第一项反请求的意见也适用于第二项反请求。此外，以基金净值与市值为基础计算损失，必须考虑系统性因素的影响，因为造成基金规模缩水的原因是多方面的，可能是大盘的系统性下挫，也可能是基金管理人的操作原因，黄某某专户的大规模减仓和平仓操作也可能严重影响基金净值。被申请人未提供充分证据剔除上述其他因素的影响。</w:t>
      </w:r>
    </w:p>
    <w:p>
      <w:pPr>
        <w:pStyle w:val="2"/>
        <w:spacing w:line="520" w:lineRule="exact"/>
        <w:ind w:left="0" w:leftChars="0" w:firstLine="560" w:firstLineChars="200"/>
        <w:rPr>
          <w:rFonts w:ascii="Times New Roman" w:hAnsi="Times New Roman"/>
          <w:sz w:val="28"/>
          <w:szCs w:val="28"/>
        </w:rPr>
      </w:pPr>
      <w:r>
        <w:rPr>
          <w:rFonts w:ascii="Times New Roman" w:hAnsi="Times New Roman"/>
          <w:sz w:val="28"/>
          <w:szCs w:val="28"/>
        </w:rPr>
        <w:t>关于第三项反请求，即请求裁决申请人赔偿其因违规减仓操作导致被申请人的损失人民币107,900元，其实质为被申请人应支付且暂扣申请人的管理费。根据《合同法》第405条的规定，受托人完成委托事务的，委托人应当向其支付报酬。因不可归责于受托人的事由，委托合同解除或者委托事务不能完成的，委托人应当向受托人支付相应的报酬。在被申请人不能证明申请人违约事实和主观过错的情况下，被申请人暂扣申请人管理费并作为反请求损失赔偿提出，没有合同和法律依据，仲裁庭不予支持。</w:t>
      </w:r>
    </w:p>
    <w:p>
      <w:pPr>
        <w:pStyle w:val="2"/>
        <w:spacing w:line="520" w:lineRule="exact"/>
        <w:ind w:left="0" w:leftChars="0" w:firstLine="560" w:firstLineChars="200"/>
        <w:rPr>
          <w:rFonts w:ascii="Times New Roman" w:hAnsi="Times New Roman"/>
          <w:sz w:val="28"/>
          <w:szCs w:val="28"/>
        </w:rPr>
      </w:pPr>
      <w:r>
        <w:rPr>
          <w:rFonts w:ascii="Times New Roman" w:hAnsi="Times New Roman"/>
          <w:sz w:val="28"/>
          <w:szCs w:val="28"/>
        </w:rPr>
        <w:t>关于第四项反请求，即请求裁决申请人赔偿违约解除合同造成被申请人损失人民币49,700元，是申请人突然解除合同后，被申请人另行招聘基金经理接替申请人的费用。根据《合同法》第410条的规定，委托人或者受托人可以随时解除委托合同。因解除合同给对方造成损失的，除不可归责于该当事人的事由以外，应当赔偿损失。本案申请人提出解除合同并终止交易系统非常突然，2014年6月18日申请人发出律师函，6月30日即终止了交易系统，不再承担管理责任。鉴于申请人管理的是高度专业性的量化投资交易系统，此类管理人才在短期内难以替代。故被申请人不得不进行多轮寻找与招聘，并有相应票据支持，仲裁庭对该项请求予以支持。</w:t>
      </w:r>
    </w:p>
    <w:p>
      <w:pPr>
        <w:pStyle w:val="2"/>
        <w:spacing w:line="520" w:lineRule="exact"/>
        <w:ind w:left="0" w:leftChars="0" w:firstLine="560" w:firstLineChars="200"/>
        <w:rPr>
          <w:rFonts w:ascii="Times New Roman" w:hAnsi="Times New Roman"/>
          <w:sz w:val="28"/>
          <w:szCs w:val="28"/>
        </w:rPr>
      </w:pPr>
    </w:p>
    <w:p>
      <w:pPr>
        <w:pStyle w:val="2"/>
        <w:spacing w:line="520" w:lineRule="exact"/>
        <w:ind w:left="0" w:leftChars="0" w:firstLine="562" w:firstLineChars="200"/>
        <w:rPr>
          <w:rFonts w:ascii="Times New Roman" w:hAnsi="Times New Roman"/>
          <w:b/>
          <w:sz w:val="28"/>
          <w:szCs w:val="28"/>
        </w:rPr>
      </w:pPr>
      <w:r>
        <w:rPr>
          <w:rFonts w:ascii="Times New Roman" w:hAnsi="Times New Roman"/>
          <w:b/>
          <w:sz w:val="28"/>
          <w:szCs w:val="28"/>
        </w:rPr>
        <w:t>（九）关于律师费的问题</w:t>
      </w:r>
    </w:p>
    <w:p>
      <w:pPr>
        <w:pStyle w:val="2"/>
        <w:spacing w:line="520" w:lineRule="exact"/>
        <w:ind w:left="0" w:leftChars="0" w:firstLine="560" w:firstLineChars="200"/>
        <w:rPr>
          <w:rFonts w:ascii="Times New Roman" w:hAnsi="Times New Roman"/>
          <w:sz w:val="28"/>
          <w:szCs w:val="28"/>
        </w:rPr>
      </w:pPr>
      <w:r>
        <w:rPr>
          <w:rFonts w:ascii="Times New Roman" w:hAnsi="Times New Roman"/>
          <w:sz w:val="28"/>
          <w:szCs w:val="28"/>
        </w:rPr>
        <w:t>本案申请人要求被申请人承担其为本案聘请律师产生的费用人民币7万元；被申请人要求申请人承担其为本案聘请律师产生的费用及公证费人民币9万元。</w:t>
      </w:r>
    </w:p>
    <w:p>
      <w:pPr>
        <w:pStyle w:val="2"/>
        <w:spacing w:line="520" w:lineRule="exact"/>
        <w:ind w:left="0" w:leftChars="0" w:firstLine="560" w:firstLineChars="200"/>
        <w:rPr>
          <w:rFonts w:ascii="Times New Roman" w:hAnsi="Times New Roman"/>
          <w:sz w:val="28"/>
          <w:szCs w:val="28"/>
        </w:rPr>
      </w:pPr>
      <w:r>
        <w:rPr>
          <w:rFonts w:ascii="Times New Roman" w:hAnsi="Times New Roman"/>
          <w:sz w:val="28"/>
          <w:szCs w:val="28"/>
        </w:rPr>
        <w:t>根据仲裁庭认定的事实，本案实质为关于证券投资私募基金管理合作事项的纠纷，双方本着相互信任的基础签订《合作协议》等并开展前期合作后，因股权纠纷、费用摊销、投资理念差异等引起纷争，进而导致本案所涉管理费与收益分成争议。根据《仲裁规则》第六十六条之规定，综合考虑本案实际情况，仲裁庭决定：申请人自行承担其为本案聘请律师产生的费用人民币7万元；被申请人自行承担其为本案聘请律师产生的费用及公证费人民币9万元。</w:t>
      </w:r>
    </w:p>
    <w:p>
      <w:pPr>
        <w:pStyle w:val="2"/>
        <w:spacing w:line="520" w:lineRule="exact"/>
        <w:ind w:left="0" w:leftChars="0" w:firstLine="560" w:firstLineChars="200"/>
        <w:rPr>
          <w:rFonts w:ascii="Times New Roman" w:hAnsi="Times New Roman"/>
          <w:sz w:val="28"/>
          <w:szCs w:val="28"/>
        </w:rPr>
      </w:pPr>
    </w:p>
    <w:p>
      <w:pPr>
        <w:pStyle w:val="2"/>
        <w:spacing w:line="520" w:lineRule="exact"/>
        <w:ind w:left="0" w:leftChars="0" w:firstLine="562" w:firstLineChars="200"/>
        <w:rPr>
          <w:rFonts w:ascii="Times New Roman" w:hAnsi="Times New Roman"/>
          <w:b/>
          <w:sz w:val="28"/>
          <w:szCs w:val="28"/>
        </w:rPr>
      </w:pPr>
      <w:r>
        <w:rPr>
          <w:rFonts w:ascii="Times New Roman" w:hAnsi="Times New Roman"/>
          <w:b/>
          <w:sz w:val="28"/>
          <w:szCs w:val="28"/>
        </w:rPr>
        <w:t>（十）关于仲裁费的问题</w:t>
      </w:r>
    </w:p>
    <w:p>
      <w:pPr>
        <w:pStyle w:val="2"/>
        <w:spacing w:line="520" w:lineRule="exact"/>
        <w:ind w:left="0" w:leftChars="0" w:firstLine="560" w:firstLineChars="200"/>
        <w:rPr>
          <w:rFonts w:ascii="Times New Roman" w:hAnsi="Times New Roman"/>
          <w:sz w:val="28"/>
          <w:szCs w:val="28"/>
        </w:rPr>
      </w:pPr>
      <w:r>
        <w:rPr>
          <w:rFonts w:ascii="Times New Roman" w:hAnsi="Times New Roman"/>
          <w:sz w:val="28"/>
          <w:szCs w:val="28"/>
        </w:rPr>
        <w:t>根据《仲裁规则》第六十六条之规定，综合考虑本案的实际情况，仲裁庭决定：本案仲裁费用全部由被申请人承担。</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rPr>
          <w:rFonts w:hint="eastAsia"/>
          <w:lang w:eastAsia="zh-CN"/>
        </w:rPr>
      </w:pPr>
      <w:r>
        <w:rPr>
          <w:rStyle w:val="7"/>
        </w:rPr>
        <w:footnoteRef/>
      </w:r>
      <w:r>
        <w:t xml:space="preserve"> 本案仲裁庭：首席仲裁员蔡奕先生，仲裁员钱伯明先生和周林彬先生</w:t>
      </w:r>
      <w:r>
        <w:rPr>
          <w:rFonts w:hint="eastAsia"/>
        </w:rPr>
        <w:t>。</w:t>
      </w:r>
    </w:p>
    <w:p>
      <w:pPr>
        <w:pStyle w:val="3"/>
        <w:rPr>
          <w:lang w:eastAsia="zh-CN"/>
        </w:rPr>
      </w:pPr>
      <w:r>
        <w:rPr>
          <w:rFonts w:hint="eastAsia"/>
          <w:lang w:eastAsia="zh-CN"/>
        </w:rPr>
        <w:t xml:space="preserve"> 本案例责任编辑：华南国际经济贸易仲裁委员会（深圳国际仲裁院）赵枫女士。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E2FD8"/>
    <w:multiLevelType w:val="multilevel"/>
    <w:tmpl w:val="33CE2FD8"/>
    <w:lvl w:ilvl="0" w:tentative="0">
      <w:start w:val="1"/>
      <w:numFmt w:val="japaneseCounting"/>
      <w:lvlText w:val="（%1）"/>
      <w:lvlJc w:val="left"/>
      <w:pPr>
        <w:ind w:left="1447" w:hanging="885"/>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
    <w:nsid w:val="42BE285E"/>
    <w:multiLevelType w:val="multilevel"/>
    <w:tmpl w:val="42BE285E"/>
    <w:lvl w:ilvl="0" w:tentative="0">
      <w:start w:val="4"/>
      <w:numFmt w:val="decimal"/>
      <w:lvlText w:val="%1."/>
      <w:lvlJc w:val="left"/>
      <w:pPr>
        <w:ind w:left="0" w:hanging="480"/>
      </w:pPr>
      <w:rPr>
        <w:rFonts w:hint="default"/>
      </w:rPr>
    </w:lvl>
    <w:lvl w:ilvl="1" w:tentative="0">
      <w:start w:val="1"/>
      <w:numFmt w:val="lowerLetter"/>
      <w:lvlText w:val="%2)"/>
      <w:lvlJc w:val="left"/>
      <w:pPr>
        <w:ind w:left="480" w:hanging="480"/>
      </w:pPr>
    </w:lvl>
    <w:lvl w:ilvl="2" w:tentative="0">
      <w:start w:val="1"/>
      <w:numFmt w:val="lowerRoman"/>
      <w:lvlText w:val="%3."/>
      <w:lvlJc w:val="right"/>
      <w:pPr>
        <w:ind w:left="960" w:hanging="480"/>
      </w:pPr>
    </w:lvl>
    <w:lvl w:ilvl="3" w:tentative="0">
      <w:start w:val="1"/>
      <w:numFmt w:val="decimal"/>
      <w:lvlText w:val="%4."/>
      <w:lvlJc w:val="left"/>
      <w:pPr>
        <w:ind w:left="1440" w:hanging="480"/>
      </w:pPr>
    </w:lvl>
    <w:lvl w:ilvl="4" w:tentative="0">
      <w:start w:val="1"/>
      <w:numFmt w:val="lowerLetter"/>
      <w:lvlText w:val="%5)"/>
      <w:lvlJc w:val="left"/>
      <w:pPr>
        <w:ind w:left="1920" w:hanging="480"/>
      </w:pPr>
    </w:lvl>
    <w:lvl w:ilvl="5" w:tentative="0">
      <w:start w:val="1"/>
      <w:numFmt w:val="lowerRoman"/>
      <w:lvlText w:val="%6."/>
      <w:lvlJc w:val="right"/>
      <w:pPr>
        <w:ind w:left="2400" w:hanging="480"/>
      </w:pPr>
    </w:lvl>
    <w:lvl w:ilvl="6" w:tentative="0">
      <w:start w:val="1"/>
      <w:numFmt w:val="decimal"/>
      <w:lvlText w:val="%7."/>
      <w:lvlJc w:val="left"/>
      <w:pPr>
        <w:ind w:left="2880" w:hanging="480"/>
      </w:pPr>
    </w:lvl>
    <w:lvl w:ilvl="7" w:tentative="0">
      <w:start w:val="1"/>
      <w:numFmt w:val="lowerLetter"/>
      <w:lvlText w:val="%8)"/>
      <w:lvlJc w:val="left"/>
      <w:pPr>
        <w:ind w:left="3360" w:hanging="480"/>
      </w:pPr>
    </w:lvl>
    <w:lvl w:ilvl="8" w:tentative="0">
      <w:start w:val="1"/>
      <w:numFmt w:val="lowerRoman"/>
      <w:lvlText w:val="%9."/>
      <w:lvlJc w:val="right"/>
      <w:pPr>
        <w:ind w:left="38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653116"/>
    <w:rsid w:val="0B653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uiPriority w:val="99"/>
    <w:pPr>
      <w:spacing w:after="120"/>
      <w:ind w:left="420" w:leftChars="200"/>
    </w:pPr>
  </w:style>
  <w:style w:type="paragraph" w:styleId="3">
    <w:name w:val="footnote text"/>
    <w:basedOn w:val="1"/>
    <w:unhideWhenUsed/>
    <w:qFormat/>
    <w:uiPriority w:val="99"/>
    <w:pPr>
      <w:snapToGrid w:val="0"/>
      <w:jc w:val="left"/>
    </w:pPr>
    <w:rPr>
      <w:rFonts w:ascii="Cambria" w:hAnsi="Cambria" w:cs="Times New Roman"/>
      <w:kern w:val="0"/>
      <w:sz w:val="18"/>
      <w:szCs w:val="18"/>
      <w:lang w:val="zh-CN" w:eastAsia="zh-CN"/>
    </w:rPr>
  </w:style>
  <w:style w:type="paragraph" w:styleId="4">
    <w:name w:val="Title"/>
    <w:basedOn w:val="1"/>
    <w:next w:val="1"/>
    <w:qFormat/>
    <w:uiPriority w:val="0"/>
    <w:pPr>
      <w:spacing w:before="240" w:after="60"/>
      <w:jc w:val="center"/>
      <w:outlineLvl w:val="0"/>
    </w:pPr>
    <w:rPr>
      <w:rFonts w:ascii="Cambria" w:hAnsi="Cambria" w:cs="Times New Roman"/>
      <w:b/>
      <w:bCs/>
      <w:sz w:val="32"/>
      <w:szCs w:val="32"/>
      <w:lang w:val="zh-CN" w:eastAsia="zh-CN"/>
    </w:rPr>
  </w:style>
  <w:style w:type="character" w:styleId="7">
    <w:name w:val="footnote reference"/>
    <w:unhideWhenUsed/>
    <w:qFormat/>
    <w:uiPriority w:val="99"/>
    <w:rPr>
      <w:vertAlign w:val="superscript"/>
    </w:rPr>
  </w:style>
  <w:style w:type="paragraph" w:customStyle="1" w:styleId="8">
    <w:name w:val="中等深浅网格 1 - 强调文字颜色 21"/>
    <w:basedOn w:val="1"/>
    <w:qFormat/>
    <w:uiPriority w:val="34"/>
    <w:pPr>
      <w:ind w:firstLine="420" w:firstLineChars="200"/>
    </w:pPr>
    <w:rPr>
      <w:rFonts w:ascii="Cambria" w:hAnsi="Cambria"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2020-02-22T02:27:00Z</dcterms:created>
  <dc:creator>Administrator</dc:creator>
  <cp:lastModifiedBy>Administrator</cp:lastModifiedBy>
  <dcterms:modified xsi:type="dcterms:W3CDTF">2020-02-22T02:27:21Z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